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3897612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20</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993404">
        <w:rPr>
          <w:bCs/>
          <w:noProof w:val="0"/>
          <w:sz w:val="24"/>
          <w:szCs w:val="24"/>
        </w:rPr>
        <w:t>3150</w:t>
      </w:r>
    </w:p>
    <w:p w14:paraId="1822B173" w14:textId="1DDFC913" w:rsidR="00CD4C7B" w:rsidRPr="00B1063A" w:rsidRDefault="00AD0338" w:rsidP="00CD4C7B">
      <w:pPr>
        <w:pStyle w:val="Header"/>
        <w:tabs>
          <w:tab w:val="right" w:pos="9639"/>
        </w:tabs>
        <w:rPr>
          <w:bCs/>
          <w:noProof w:val="0"/>
          <w:sz w:val="24"/>
          <w:szCs w:val="24"/>
          <w:lang w:val="en-US"/>
        </w:rPr>
      </w:pPr>
      <w:r>
        <w:rPr>
          <w:rFonts w:cs="Arial"/>
          <w:sz w:val="24"/>
          <w:szCs w:val="24"/>
          <w:lang w:val="en-US"/>
        </w:rPr>
        <w:t>Incheon, Korea</w:t>
      </w:r>
      <w:r w:rsidR="00782170" w:rsidRPr="00782170">
        <w:rPr>
          <w:rFonts w:cs="Arial"/>
          <w:sz w:val="24"/>
          <w:szCs w:val="24"/>
          <w:lang w:val="en-US"/>
        </w:rPr>
        <w:t xml:space="preserve">, </w:t>
      </w:r>
      <w:r w:rsidR="00065B77">
        <w:rPr>
          <w:rFonts w:cs="Arial"/>
          <w:sz w:val="24"/>
          <w:szCs w:val="24"/>
          <w:lang w:val="en-US"/>
        </w:rPr>
        <w:t>22</w:t>
      </w:r>
      <w:r w:rsidR="00782170" w:rsidRPr="00782170">
        <w:rPr>
          <w:rFonts w:cs="Arial"/>
          <w:sz w:val="24"/>
          <w:szCs w:val="24"/>
          <w:lang w:val="en-US"/>
        </w:rPr>
        <w:t xml:space="preserve"> – 26 </w:t>
      </w:r>
      <w:r w:rsidR="00065B77">
        <w:rPr>
          <w:rFonts w:cs="Arial"/>
          <w:sz w:val="24"/>
          <w:szCs w:val="24"/>
          <w:lang w:val="en-US"/>
        </w:rPr>
        <w:t>May</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5E45002"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F801B8">
        <w:rPr>
          <w:rFonts w:cs="Arial"/>
          <w:b/>
          <w:bCs/>
          <w:sz w:val="24"/>
          <w:lang w:val="en-US" w:eastAsia="ja-JP"/>
        </w:rPr>
        <w:t>12.3</w:t>
      </w:r>
    </w:p>
    <w:p w14:paraId="47FEC04C" w14:textId="166A17B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r w:rsidR="00F14CED">
        <w:rPr>
          <w:rFonts w:ascii="Arial" w:hAnsi="Arial" w:cs="Arial"/>
          <w:b/>
          <w:bCs/>
          <w:sz w:val="24"/>
        </w:rPr>
        <w:t xml:space="preserve">, </w:t>
      </w:r>
      <w:r w:rsidR="00F14CED" w:rsidRPr="00F14CED">
        <w:rPr>
          <w:rFonts w:ascii="Arial" w:hAnsi="Arial" w:cs="Arial"/>
          <w:b/>
          <w:bCs/>
          <w:sz w:val="24"/>
        </w:rPr>
        <w:t>Qualcomm Incorporated</w:t>
      </w:r>
    </w:p>
    <w:p w14:paraId="13240CF6" w14:textId="52DE5B9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7A25">
        <w:rPr>
          <w:rFonts w:ascii="Arial" w:hAnsi="Arial" w:cs="Arial"/>
          <w:b/>
          <w:bCs/>
          <w:sz w:val="24"/>
        </w:rPr>
        <w:t xml:space="preserve">MDT Further Enhancements in the Context of Rel.18 NG-RAN AI/ML Use Cases </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7CEE5D7F" w14:textId="376C2A89" w:rsidR="00B1783A" w:rsidRDefault="001F4258" w:rsidP="00CD4C7B">
      <w:r>
        <w:t>In RAN3 #119bis-e, we made some agreements and further captured some open aspects with respect to MDT</w:t>
      </w:r>
      <w:r w:rsidR="00B1783A">
        <w:t>:</w:t>
      </w:r>
    </w:p>
    <w:p w14:paraId="5F85CF04" w14:textId="77777777" w:rsidR="00B1783A" w:rsidRPr="0038340C" w:rsidRDefault="00B1783A" w:rsidP="00B1783A">
      <w:pPr>
        <w:widowControl w:val="0"/>
        <w:ind w:left="144" w:hanging="144"/>
        <w:rPr>
          <w:rFonts w:ascii="Calibri" w:hAnsi="Calibri" w:cs="Calibri"/>
          <w:b/>
          <w:color w:val="008000"/>
          <w:sz w:val="18"/>
        </w:rPr>
      </w:pPr>
      <w:r w:rsidRPr="0038340C">
        <w:rPr>
          <w:rFonts w:ascii="Calibri" w:hAnsi="Calibri" w:cs="Calibri"/>
          <w:b/>
          <w:color w:val="008000"/>
          <w:sz w:val="18"/>
        </w:rPr>
        <w:t>The existing MDT framework is used as baseline for data collection from the UE.</w:t>
      </w:r>
    </w:p>
    <w:p w14:paraId="2B63AC4A" w14:textId="77777777" w:rsidR="00B1783A" w:rsidRPr="0038340C" w:rsidRDefault="00B1783A" w:rsidP="00B1783A">
      <w:pPr>
        <w:widowControl w:val="0"/>
        <w:ind w:left="144" w:hanging="144"/>
        <w:rPr>
          <w:rFonts w:ascii="Calibri" w:hAnsi="Calibri" w:cs="Calibri"/>
          <w:b/>
          <w:color w:val="0000FF"/>
          <w:sz w:val="18"/>
        </w:rPr>
      </w:pPr>
      <w:r w:rsidRPr="0038340C">
        <w:rPr>
          <w:rFonts w:ascii="Calibri" w:hAnsi="Calibri" w:cs="Calibri"/>
          <w:b/>
          <w:color w:val="0000FF"/>
          <w:sz w:val="18"/>
        </w:rPr>
        <w:t>FFS on using s-based MDT, m-based MDT or both of them for data collection from the UE.</w:t>
      </w:r>
    </w:p>
    <w:p w14:paraId="29D55293" w14:textId="14F004CA" w:rsidR="00B1783A" w:rsidRPr="0038340C" w:rsidRDefault="00B1783A" w:rsidP="00B1783A">
      <w:pPr>
        <w:widowControl w:val="0"/>
        <w:ind w:left="144" w:hanging="144"/>
        <w:rPr>
          <w:rFonts w:ascii="Calibri" w:hAnsi="Calibri" w:cs="Calibri"/>
          <w:b/>
          <w:color w:val="008000"/>
          <w:sz w:val="18"/>
        </w:rPr>
      </w:pPr>
      <w:r w:rsidRPr="0038340C">
        <w:rPr>
          <w:rFonts w:ascii="Calibri" w:hAnsi="Calibri" w:cs="Calibri"/>
          <w:b/>
          <w:color w:val="008000"/>
          <w:sz w:val="18"/>
        </w:rPr>
        <w:t>Continuous collection of MDT traces is beneficial only for AI/ML training in OAM. Continuous MDT collection is to enable the continuous collection of MDT data from the same UE across RRC state changes (RRC_Connected, RRC_Idle, RRC_Inactive).</w:t>
      </w:r>
    </w:p>
    <w:p w14:paraId="77CD9403" w14:textId="42795464" w:rsidR="00B1783A" w:rsidRPr="0038340C" w:rsidRDefault="00B1783A" w:rsidP="00B1783A">
      <w:pPr>
        <w:widowControl w:val="0"/>
        <w:ind w:left="144" w:hanging="144"/>
        <w:rPr>
          <w:rFonts w:ascii="Calibri" w:hAnsi="Calibri" w:cs="Calibri"/>
          <w:b/>
          <w:color w:val="0000FF"/>
          <w:sz w:val="18"/>
        </w:rPr>
      </w:pPr>
      <w:r w:rsidRPr="0038340C">
        <w:rPr>
          <w:rFonts w:ascii="Calibri" w:hAnsi="Calibri" w:cs="Calibri"/>
          <w:b/>
          <w:color w:val="0000FF"/>
          <w:sz w:val="18"/>
        </w:rPr>
        <w:t>FFS on determining the need for continuous MDT support for the Rel.18 use cases.</w:t>
      </w:r>
    </w:p>
    <w:p w14:paraId="24B4234A" w14:textId="77777777" w:rsidR="00B1783A" w:rsidRPr="0038340C" w:rsidRDefault="00B1783A" w:rsidP="00B1783A">
      <w:pPr>
        <w:widowControl w:val="0"/>
        <w:rPr>
          <w:rFonts w:ascii="Calibri" w:hAnsi="Calibri" w:cs="Calibri"/>
          <w:b/>
          <w:color w:val="0000FF"/>
          <w:sz w:val="18"/>
        </w:rPr>
      </w:pPr>
      <w:r w:rsidRPr="0038340C">
        <w:rPr>
          <w:rFonts w:ascii="Calibri" w:hAnsi="Calibri" w:cs="Calibri"/>
          <w:b/>
          <w:color w:val="0000FF"/>
          <w:sz w:val="18"/>
        </w:rPr>
        <w:t>FFS on the solutions to support continuous MDT collection:</w:t>
      </w:r>
    </w:p>
    <w:p w14:paraId="2DBA8C73" w14:textId="77777777" w:rsidR="00B1783A" w:rsidRPr="0038340C" w:rsidRDefault="00B1783A" w:rsidP="00B1783A">
      <w:pPr>
        <w:widowControl w:val="0"/>
        <w:numPr>
          <w:ilvl w:val="0"/>
          <w:numId w:val="5"/>
        </w:numPr>
        <w:rPr>
          <w:rFonts w:ascii="Calibri" w:hAnsi="Calibri" w:cs="Calibri"/>
          <w:b/>
          <w:color w:val="0000FF"/>
          <w:sz w:val="18"/>
        </w:rPr>
      </w:pPr>
      <w:r w:rsidRPr="0038340C">
        <w:rPr>
          <w:rFonts w:ascii="Calibri" w:hAnsi="Calibri" w:cs="Calibri"/>
          <w:b/>
          <w:color w:val="0000FF"/>
          <w:sz w:val="18"/>
        </w:rPr>
        <w:t>Solution 1: existing MDT mechanism without enhancement.</w:t>
      </w:r>
    </w:p>
    <w:p w14:paraId="68AAE4F4" w14:textId="77777777" w:rsidR="00B1783A" w:rsidRPr="0038340C" w:rsidRDefault="00B1783A" w:rsidP="00B1783A">
      <w:pPr>
        <w:widowControl w:val="0"/>
        <w:numPr>
          <w:ilvl w:val="0"/>
          <w:numId w:val="5"/>
        </w:numPr>
        <w:rPr>
          <w:rFonts w:ascii="Calibri" w:hAnsi="Calibri" w:cs="Calibri"/>
          <w:b/>
          <w:color w:val="0000FF"/>
          <w:sz w:val="18"/>
        </w:rPr>
      </w:pPr>
      <w:r w:rsidRPr="0038340C">
        <w:rPr>
          <w:rFonts w:ascii="Calibri" w:hAnsi="Calibri" w:cs="Calibri"/>
          <w:b/>
          <w:color w:val="0000FF"/>
          <w:sz w:val="18"/>
        </w:rPr>
        <w:t>Solution 2: Introduce an indication in the logged MDT measurement configuration to indicate UE whether to collect continuous location information (e.g., historical cell information, latitude, longitude, altitude, velocity, etc.) across various RRC states (connected, inactive, idle).</w:t>
      </w:r>
    </w:p>
    <w:p w14:paraId="7F1E41EC" w14:textId="77777777" w:rsidR="00B1783A" w:rsidRPr="0038340C" w:rsidRDefault="00B1783A" w:rsidP="00B1783A">
      <w:pPr>
        <w:widowControl w:val="0"/>
        <w:numPr>
          <w:ilvl w:val="0"/>
          <w:numId w:val="5"/>
        </w:numPr>
        <w:rPr>
          <w:rFonts w:ascii="Calibri" w:hAnsi="Calibri" w:cs="Calibri"/>
          <w:b/>
          <w:color w:val="0000FF"/>
          <w:sz w:val="18"/>
        </w:rPr>
      </w:pPr>
      <w:r w:rsidRPr="0038340C">
        <w:rPr>
          <w:rFonts w:ascii="Calibri" w:hAnsi="Calibri" w:cs="Calibri"/>
          <w:b/>
          <w:color w:val="0000FF"/>
          <w:sz w:val="18"/>
        </w:rPr>
        <w:t>Solution 3: introduce a “Continuous MDT” flag in the management based logged MDT measurement configuration, and enable the UE to report a “Continuous MDT” flag as soon as the UE establishes an RRC connection from Idle. Introduce a continuous MDT indication in the Handover Request message to enable the target NG-RAN to configure the UE with a management-based MDT configuration</w:t>
      </w:r>
    </w:p>
    <w:p w14:paraId="46D40068" w14:textId="77777777" w:rsidR="00B1783A" w:rsidRPr="0038340C" w:rsidRDefault="00B1783A" w:rsidP="00B1783A">
      <w:pPr>
        <w:widowControl w:val="0"/>
        <w:numPr>
          <w:ilvl w:val="0"/>
          <w:numId w:val="5"/>
        </w:numPr>
        <w:rPr>
          <w:rFonts w:ascii="Calibri" w:hAnsi="Calibri" w:cs="Calibri"/>
          <w:b/>
          <w:color w:val="0000FF"/>
          <w:sz w:val="18"/>
        </w:rPr>
      </w:pPr>
      <w:r w:rsidRPr="0038340C">
        <w:rPr>
          <w:rFonts w:ascii="Calibri" w:hAnsi="Calibri" w:cs="Calibri"/>
          <w:b/>
          <w:color w:val="0000FF"/>
          <w:sz w:val="18"/>
        </w:rPr>
        <w:t xml:space="preserve">Solution 4: </w:t>
      </w:r>
      <w:proofErr w:type="gramStart"/>
      <w:r w:rsidRPr="0038340C">
        <w:rPr>
          <w:rFonts w:ascii="Calibri" w:hAnsi="Calibri" w:cs="Calibri"/>
          <w:b/>
          <w:color w:val="0000FF"/>
          <w:sz w:val="18"/>
        </w:rPr>
        <w:t>down-select</w:t>
      </w:r>
      <w:proofErr w:type="gramEnd"/>
      <w:r w:rsidRPr="0038340C">
        <w:rPr>
          <w:rFonts w:ascii="Calibri" w:hAnsi="Calibri" w:cs="Calibri"/>
          <w:b/>
          <w:color w:val="0000FF"/>
          <w:sz w:val="18"/>
        </w:rPr>
        <w:t xml:space="preserve"> the solution from option 1 to 3 to configure multiple signaling based MDTs (e.g., immediate MDT and log MDT) to a UE</w:t>
      </w:r>
    </w:p>
    <w:p w14:paraId="4E20716B" w14:textId="77777777" w:rsidR="00B1783A" w:rsidRPr="0038340C" w:rsidRDefault="00B1783A" w:rsidP="00B1783A">
      <w:pPr>
        <w:widowControl w:val="0"/>
        <w:numPr>
          <w:ilvl w:val="0"/>
          <w:numId w:val="5"/>
        </w:numPr>
        <w:rPr>
          <w:rFonts w:ascii="Calibri" w:hAnsi="Calibri" w:cs="Calibri"/>
          <w:b/>
          <w:color w:val="0000FF"/>
          <w:sz w:val="18"/>
        </w:rPr>
      </w:pPr>
      <w:r w:rsidRPr="0038340C">
        <w:rPr>
          <w:rFonts w:ascii="Calibri" w:hAnsi="Calibri" w:cs="Calibri"/>
          <w:b/>
          <w:color w:val="0000FF"/>
          <w:sz w:val="18"/>
        </w:rPr>
        <w:t>Option 1: add addition trace activation IE in Xn</w:t>
      </w:r>
    </w:p>
    <w:p w14:paraId="3E3E89A1" w14:textId="77777777" w:rsidR="00B1783A" w:rsidRDefault="00B1783A" w:rsidP="00B1783A">
      <w:pPr>
        <w:widowControl w:val="0"/>
        <w:numPr>
          <w:ilvl w:val="0"/>
          <w:numId w:val="5"/>
        </w:numPr>
        <w:rPr>
          <w:rFonts w:ascii="Calibri" w:hAnsi="Calibri" w:cs="Calibri"/>
          <w:b/>
          <w:color w:val="0000FF"/>
          <w:sz w:val="18"/>
        </w:rPr>
      </w:pPr>
      <w:r w:rsidRPr="0038340C">
        <w:rPr>
          <w:rFonts w:ascii="Calibri" w:hAnsi="Calibri" w:cs="Calibri"/>
          <w:b/>
          <w:color w:val="0000FF"/>
          <w:sz w:val="18"/>
        </w:rPr>
        <w:t>Option 2: add addition trace activation IE in both NG and Xn</w:t>
      </w:r>
    </w:p>
    <w:p w14:paraId="4860E0D2" w14:textId="365D8EDD" w:rsidR="00CD4C7B" w:rsidRPr="00B1783A" w:rsidRDefault="00B1783A" w:rsidP="00B1783A">
      <w:pPr>
        <w:widowControl w:val="0"/>
        <w:numPr>
          <w:ilvl w:val="0"/>
          <w:numId w:val="5"/>
        </w:numPr>
        <w:rPr>
          <w:rFonts w:ascii="Calibri" w:hAnsi="Calibri" w:cs="Calibri"/>
          <w:b/>
          <w:color w:val="0000FF"/>
          <w:sz w:val="18"/>
        </w:rPr>
      </w:pPr>
      <w:r w:rsidRPr="00B1783A">
        <w:rPr>
          <w:rFonts w:ascii="Calibri" w:hAnsi="Calibri" w:cs="Calibri"/>
          <w:b/>
          <w:color w:val="0000FF"/>
          <w:sz w:val="18"/>
        </w:rPr>
        <w:t>Option 3: extending the CHOICE MDT Mode IE</w:t>
      </w:r>
      <w:r w:rsidR="000D376D">
        <w:t xml:space="preserve"> </w:t>
      </w:r>
    </w:p>
    <w:p w14:paraId="6DCC3099" w14:textId="2FFF1A91" w:rsidR="00B1783A" w:rsidRDefault="001F4258" w:rsidP="00CD4C7B">
      <w:r>
        <w:t>In this contribution, we provide our views on the remaining open points on the subject.</w:t>
      </w:r>
    </w:p>
    <w:p w14:paraId="479DA40B" w14:textId="68AAE864" w:rsidR="00CD4C7B" w:rsidRPr="006E13D1" w:rsidRDefault="00CD4C7B" w:rsidP="00CD4C7B">
      <w:pPr>
        <w:pStyle w:val="Heading1"/>
      </w:pPr>
      <w:r w:rsidRPr="006E13D1">
        <w:t>2</w:t>
      </w:r>
      <w:r w:rsidRPr="006E13D1">
        <w:tab/>
      </w:r>
      <w:r w:rsidR="006E6A02">
        <w:t>MDT Continuity based on existing MDT methods</w:t>
      </w:r>
    </w:p>
    <w:p w14:paraId="66221BFD" w14:textId="682AAE0C" w:rsidR="00410E14" w:rsidRDefault="00502EB4" w:rsidP="00CD4C7B">
      <w:pPr>
        <w:pStyle w:val="00BodyText"/>
        <w:spacing w:after="0"/>
        <w:rPr>
          <w:rFonts w:ascii="Times New Roman" w:hAnsi="Times New Roman"/>
          <w:sz w:val="20"/>
          <w:lang w:val="en-GB"/>
        </w:rPr>
      </w:pPr>
      <w:r>
        <w:rPr>
          <w:rFonts w:ascii="Times New Roman" w:hAnsi="Times New Roman"/>
          <w:sz w:val="20"/>
          <w:lang w:val="en-GB"/>
        </w:rPr>
        <w:t xml:space="preserve">In RAN3 #119bis-e we </w:t>
      </w:r>
      <w:r w:rsidR="00410E14">
        <w:rPr>
          <w:rFonts w:ascii="Times New Roman" w:hAnsi="Times New Roman"/>
          <w:sz w:val="20"/>
          <w:lang w:val="en-GB"/>
        </w:rPr>
        <w:t xml:space="preserve">agreed that the existing MDT framework is used as a baseline for data collection from the UE. We captured as an open point to further discuss whether signalling-based, management-based MDT or both should be used for the data collection from the UE. Both signalling-based and management-based </w:t>
      </w:r>
      <w:r w:rsidR="00EA38AC">
        <w:rPr>
          <w:rFonts w:ascii="Times New Roman" w:hAnsi="Times New Roman"/>
          <w:sz w:val="20"/>
          <w:lang w:val="en-GB"/>
        </w:rPr>
        <w:t xml:space="preserve">activation </w:t>
      </w:r>
      <w:r w:rsidR="00410E14">
        <w:rPr>
          <w:rFonts w:ascii="Times New Roman" w:hAnsi="Times New Roman"/>
          <w:sz w:val="20"/>
          <w:lang w:val="en-GB"/>
        </w:rPr>
        <w:t xml:space="preserve">are supported by the MDT mechanism and could be used in the data collection depending on the use case. If data needs to be collected from a specific UE then signalling-based </w:t>
      </w:r>
      <w:r w:rsidR="00EA38AC">
        <w:rPr>
          <w:rFonts w:ascii="Times New Roman" w:hAnsi="Times New Roman"/>
          <w:sz w:val="20"/>
          <w:lang w:val="en-GB"/>
        </w:rPr>
        <w:t xml:space="preserve">activation is </w:t>
      </w:r>
      <w:r w:rsidR="00410E14">
        <w:rPr>
          <w:rFonts w:ascii="Times New Roman" w:hAnsi="Times New Roman"/>
          <w:sz w:val="20"/>
          <w:lang w:val="en-GB"/>
        </w:rPr>
        <w:t xml:space="preserve">more appropriate, but if network needs to collect data from an area from a (larger) number of UEs then management-based </w:t>
      </w:r>
      <w:r w:rsidR="00EA38AC">
        <w:rPr>
          <w:rFonts w:ascii="Times New Roman" w:hAnsi="Times New Roman"/>
          <w:sz w:val="20"/>
          <w:lang w:val="en-GB"/>
        </w:rPr>
        <w:t>activation is</w:t>
      </w:r>
      <w:r w:rsidR="00410E14">
        <w:rPr>
          <w:rFonts w:ascii="Times New Roman" w:hAnsi="Times New Roman"/>
          <w:sz w:val="20"/>
          <w:lang w:val="en-GB"/>
        </w:rPr>
        <w:t xml:space="preserve"> more suitable. </w:t>
      </w:r>
    </w:p>
    <w:p w14:paraId="2F07453B" w14:textId="77777777" w:rsidR="00733CD5" w:rsidRDefault="00733CD5" w:rsidP="00CD4C7B">
      <w:pPr>
        <w:pStyle w:val="00BodyText"/>
        <w:spacing w:after="0"/>
        <w:rPr>
          <w:rFonts w:ascii="Times New Roman" w:hAnsi="Times New Roman"/>
          <w:b/>
          <w:bCs/>
          <w:sz w:val="20"/>
          <w:lang w:val="en-GB"/>
        </w:rPr>
      </w:pPr>
    </w:p>
    <w:p w14:paraId="3B566BEF" w14:textId="3BE64C79" w:rsidR="00410E14" w:rsidRPr="0060284E" w:rsidRDefault="00410E14" w:rsidP="00CD4C7B">
      <w:pPr>
        <w:pStyle w:val="00BodyText"/>
        <w:spacing w:after="0"/>
        <w:rPr>
          <w:rFonts w:ascii="Times New Roman" w:hAnsi="Times New Roman"/>
          <w:b/>
          <w:bCs/>
          <w:sz w:val="20"/>
          <w:lang w:val="en-GB"/>
        </w:rPr>
      </w:pPr>
      <w:r w:rsidRPr="0060284E">
        <w:rPr>
          <w:rFonts w:ascii="Times New Roman" w:hAnsi="Times New Roman"/>
          <w:b/>
          <w:bCs/>
          <w:sz w:val="20"/>
          <w:lang w:val="en-GB"/>
        </w:rPr>
        <w:lastRenderedPageBreak/>
        <w:t>Proposal</w:t>
      </w:r>
      <w:r w:rsidR="009D3BC7">
        <w:rPr>
          <w:rFonts w:ascii="Times New Roman" w:hAnsi="Times New Roman"/>
          <w:b/>
          <w:bCs/>
          <w:sz w:val="20"/>
          <w:lang w:val="en-GB"/>
        </w:rPr>
        <w:t xml:space="preserve"> 1</w:t>
      </w:r>
      <w:r w:rsidRPr="0060284E">
        <w:rPr>
          <w:rFonts w:ascii="Times New Roman" w:hAnsi="Times New Roman"/>
          <w:b/>
          <w:bCs/>
          <w:sz w:val="20"/>
          <w:lang w:val="en-GB"/>
        </w:rPr>
        <w:t xml:space="preserve">: Both signalling-based and management-based MDT </w:t>
      </w:r>
      <w:r w:rsidR="00EA38AC">
        <w:rPr>
          <w:rFonts w:ascii="Times New Roman" w:hAnsi="Times New Roman"/>
          <w:b/>
          <w:bCs/>
          <w:sz w:val="20"/>
          <w:lang w:val="en-GB"/>
        </w:rPr>
        <w:t>activation</w:t>
      </w:r>
      <w:r w:rsidR="00EA38AC" w:rsidRPr="0060284E">
        <w:rPr>
          <w:rFonts w:ascii="Times New Roman" w:hAnsi="Times New Roman"/>
          <w:b/>
          <w:bCs/>
          <w:sz w:val="20"/>
          <w:lang w:val="en-GB"/>
        </w:rPr>
        <w:t xml:space="preserve"> </w:t>
      </w:r>
      <w:r w:rsidRPr="0060284E">
        <w:rPr>
          <w:rFonts w:ascii="Times New Roman" w:hAnsi="Times New Roman"/>
          <w:b/>
          <w:bCs/>
          <w:sz w:val="20"/>
          <w:lang w:val="en-GB"/>
        </w:rPr>
        <w:t xml:space="preserve">are in scope for data collection from a UE. Which </w:t>
      </w:r>
      <w:r w:rsidR="00EA38AC">
        <w:rPr>
          <w:rFonts w:ascii="Times New Roman" w:hAnsi="Times New Roman"/>
          <w:b/>
          <w:bCs/>
          <w:sz w:val="20"/>
          <w:lang w:val="en-GB"/>
        </w:rPr>
        <w:t xml:space="preserve">activation mechanism </w:t>
      </w:r>
      <w:r w:rsidRPr="0060284E">
        <w:rPr>
          <w:rFonts w:ascii="Times New Roman" w:hAnsi="Times New Roman"/>
          <w:b/>
          <w:bCs/>
          <w:sz w:val="20"/>
          <w:lang w:val="en-GB"/>
        </w:rPr>
        <w:t xml:space="preserve">to </w:t>
      </w:r>
      <w:r w:rsidR="00895337">
        <w:rPr>
          <w:rFonts w:ascii="Times New Roman" w:hAnsi="Times New Roman"/>
          <w:b/>
          <w:bCs/>
          <w:sz w:val="20"/>
          <w:lang w:val="en-GB"/>
        </w:rPr>
        <w:t xml:space="preserve">be </w:t>
      </w:r>
      <w:r w:rsidRPr="0060284E">
        <w:rPr>
          <w:rFonts w:ascii="Times New Roman" w:hAnsi="Times New Roman"/>
          <w:b/>
          <w:bCs/>
          <w:sz w:val="20"/>
          <w:lang w:val="en-GB"/>
        </w:rPr>
        <w:t>use</w:t>
      </w:r>
      <w:r w:rsidR="00895337">
        <w:rPr>
          <w:rFonts w:ascii="Times New Roman" w:hAnsi="Times New Roman"/>
          <w:b/>
          <w:bCs/>
          <w:sz w:val="20"/>
          <w:lang w:val="en-GB"/>
        </w:rPr>
        <w:t xml:space="preserve">d </w:t>
      </w:r>
      <w:r w:rsidR="00274968">
        <w:rPr>
          <w:rFonts w:ascii="Times New Roman" w:hAnsi="Times New Roman"/>
          <w:b/>
          <w:bCs/>
          <w:sz w:val="20"/>
          <w:lang w:val="en-GB"/>
        </w:rPr>
        <w:t>is</w:t>
      </w:r>
      <w:r w:rsidRPr="0060284E">
        <w:rPr>
          <w:rFonts w:ascii="Times New Roman" w:hAnsi="Times New Roman"/>
          <w:b/>
          <w:bCs/>
          <w:sz w:val="20"/>
          <w:lang w:val="en-GB"/>
        </w:rPr>
        <w:t xml:space="preserve"> evaluated on a case-by-case basis.</w:t>
      </w:r>
    </w:p>
    <w:p w14:paraId="304685DB" w14:textId="23F02B91" w:rsidR="00410E14" w:rsidRDefault="00410E14" w:rsidP="00CD4C7B">
      <w:pPr>
        <w:pStyle w:val="00BodyText"/>
        <w:spacing w:after="0"/>
        <w:rPr>
          <w:rFonts w:ascii="Times New Roman" w:hAnsi="Times New Roman"/>
          <w:sz w:val="20"/>
          <w:lang w:val="en-GB"/>
        </w:rPr>
      </w:pPr>
    </w:p>
    <w:p w14:paraId="20783376" w14:textId="55807846" w:rsidR="00033174" w:rsidRDefault="00410E14" w:rsidP="00CD4C7B">
      <w:pPr>
        <w:pStyle w:val="00BodyText"/>
        <w:spacing w:after="0"/>
        <w:rPr>
          <w:rFonts w:ascii="Times New Roman" w:hAnsi="Times New Roman"/>
          <w:sz w:val="20"/>
          <w:lang w:val="en-GB"/>
        </w:rPr>
      </w:pPr>
      <w:r>
        <w:rPr>
          <w:rFonts w:ascii="Times New Roman" w:hAnsi="Times New Roman"/>
          <w:sz w:val="20"/>
          <w:lang w:val="en-GB"/>
        </w:rPr>
        <w:t xml:space="preserve">In addition, in the previous meeting it was </w:t>
      </w:r>
      <w:r w:rsidR="00502EB4">
        <w:rPr>
          <w:rFonts w:ascii="Times New Roman" w:hAnsi="Times New Roman"/>
          <w:sz w:val="20"/>
          <w:lang w:val="en-GB"/>
        </w:rPr>
        <w:t xml:space="preserve">agreed that continuous MDT is useful for AI/ML Training in OAM and 4 solutions have been discussed related </w:t>
      </w:r>
      <w:r w:rsidR="003D62E3">
        <w:rPr>
          <w:rFonts w:ascii="Times New Roman" w:hAnsi="Times New Roman"/>
          <w:sz w:val="20"/>
          <w:lang w:val="en-GB"/>
        </w:rPr>
        <w:t>to</w:t>
      </w:r>
      <w:r w:rsidR="00502EB4">
        <w:rPr>
          <w:rFonts w:ascii="Times New Roman" w:hAnsi="Times New Roman"/>
          <w:sz w:val="20"/>
          <w:lang w:val="en-GB"/>
        </w:rPr>
        <w:t xml:space="preserve"> how to achieve continuity. As discussed in our earlier contribution (R3-231660) current MDT framework already supports </w:t>
      </w:r>
      <w:r w:rsidR="006A49E1">
        <w:rPr>
          <w:rFonts w:ascii="Times New Roman" w:hAnsi="Times New Roman"/>
          <w:sz w:val="20"/>
          <w:lang w:val="en-GB"/>
        </w:rPr>
        <w:t xml:space="preserve">some level of </w:t>
      </w:r>
      <w:r w:rsidR="00502EB4">
        <w:rPr>
          <w:rFonts w:ascii="Times New Roman" w:hAnsi="Times New Roman"/>
          <w:sz w:val="20"/>
          <w:lang w:val="en-GB"/>
        </w:rPr>
        <w:t>continuity in the data collection in that data can be collected from the same UE across RRC states</w:t>
      </w:r>
      <w:r w:rsidR="001A7ECB">
        <w:rPr>
          <w:rFonts w:ascii="Times New Roman" w:hAnsi="Times New Roman"/>
          <w:sz w:val="20"/>
          <w:lang w:val="en-GB"/>
        </w:rPr>
        <w:t xml:space="preserve"> and can be correlated in the TCE</w:t>
      </w:r>
      <w:r w:rsidR="00502EB4">
        <w:rPr>
          <w:rFonts w:ascii="Times New Roman" w:hAnsi="Times New Roman"/>
          <w:sz w:val="20"/>
          <w:lang w:val="en-GB"/>
        </w:rPr>
        <w:t xml:space="preserve">. </w:t>
      </w:r>
    </w:p>
    <w:p w14:paraId="3E3844FC" w14:textId="77777777" w:rsidR="0001237C" w:rsidRDefault="0001237C" w:rsidP="00033174"/>
    <w:p w14:paraId="646DB791" w14:textId="6ADD133F" w:rsidR="00033174" w:rsidRDefault="00EA38AC" w:rsidP="00033174">
      <w:r>
        <w:t>The s</w:t>
      </w:r>
      <w:r w:rsidR="00033174">
        <w:t>ignal</w:t>
      </w:r>
      <w:r w:rsidR="00626684">
        <w:t>l</w:t>
      </w:r>
      <w:r w:rsidR="00033174">
        <w:t xml:space="preserve">ing-based MDT </w:t>
      </w:r>
      <w:r>
        <w:t xml:space="preserve">activation mechanism (via the core network) </w:t>
      </w:r>
      <w:r w:rsidR="00033174">
        <w:t>enable</w:t>
      </w:r>
      <w:r>
        <w:t>s the</w:t>
      </w:r>
      <w:r w:rsidR="00033174">
        <w:t xml:space="preserve"> </w:t>
      </w:r>
      <w:r>
        <w:t>operator</w:t>
      </w:r>
      <w:r w:rsidR="00033174">
        <w:t xml:space="preserve"> to configure a given UE, identified e.g., by its IMSI, IMEI, SUPI, both with Logged MDT and Immediate MDT, if UE capability supports them both. In this way, the operator could target data collection from a specific UE of interest. </w:t>
      </w:r>
      <w:r w:rsidR="009E4584">
        <w:t>This enable</w:t>
      </w:r>
      <w:r w:rsidR="00003830">
        <w:t>s</w:t>
      </w:r>
      <w:r w:rsidR="009E4584">
        <w:t xml:space="preserve"> </w:t>
      </w:r>
      <w:r w:rsidR="009D3BC7">
        <w:t xml:space="preserve">the operator to </w:t>
      </w:r>
      <w:r w:rsidR="0050795F">
        <w:t>collect measurements</w:t>
      </w:r>
      <w:r w:rsidR="009D3BC7">
        <w:t xml:space="preserve"> continuously, across RRC states, from a certain UE</w:t>
      </w:r>
      <w:r w:rsidR="000C3D2E">
        <w:t xml:space="preserve"> e.g., </w:t>
      </w:r>
      <w:r w:rsidR="008E0AE8">
        <w:t>related to location information or to RSRP measurements</w:t>
      </w:r>
      <w:r w:rsidR="001756AE">
        <w:t xml:space="preserve"> to mention a few examples</w:t>
      </w:r>
      <w:r w:rsidR="009D3BC7">
        <w:t>.</w:t>
      </w:r>
      <w:r w:rsidR="00003830">
        <w:t xml:space="preserve"> This further enables the operator to determine the reasons behind performance degradation for a specific UE, by continuously monitoring its measurements across RRC states.</w:t>
      </w:r>
    </w:p>
    <w:p w14:paraId="60281AC1" w14:textId="20D058C8" w:rsidR="00033174" w:rsidRPr="006A5520" w:rsidRDefault="00033174" w:rsidP="00033174">
      <w:pPr>
        <w:rPr>
          <w:b/>
          <w:bCs/>
        </w:rPr>
      </w:pPr>
      <w:r w:rsidRPr="00425166">
        <w:rPr>
          <w:b/>
          <w:bCs/>
        </w:rPr>
        <w:t>Observation</w:t>
      </w:r>
      <w:r>
        <w:rPr>
          <w:b/>
          <w:bCs/>
        </w:rPr>
        <w:t xml:space="preserve"> </w:t>
      </w:r>
      <w:r w:rsidR="009D3BC7">
        <w:rPr>
          <w:b/>
          <w:bCs/>
        </w:rPr>
        <w:t>1</w:t>
      </w:r>
      <w:r w:rsidRPr="00425166">
        <w:rPr>
          <w:b/>
          <w:bCs/>
        </w:rPr>
        <w:t>: Signal</w:t>
      </w:r>
      <w:r w:rsidR="009D3BC7">
        <w:rPr>
          <w:b/>
          <w:bCs/>
        </w:rPr>
        <w:t>l</w:t>
      </w:r>
      <w:r w:rsidRPr="00425166">
        <w:rPr>
          <w:b/>
          <w:bCs/>
        </w:rPr>
        <w:t xml:space="preserve">ing-based MDT allows </w:t>
      </w:r>
      <w:r w:rsidR="00AF3629">
        <w:rPr>
          <w:b/>
          <w:bCs/>
        </w:rPr>
        <w:t xml:space="preserve">the </w:t>
      </w:r>
      <w:r w:rsidRPr="00425166">
        <w:rPr>
          <w:b/>
          <w:bCs/>
        </w:rPr>
        <w:t xml:space="preserve">operator to monitor a specific UE </w:t>
      </w:r>
      <w:r>
        <w:rPr>
          <w:b/>
          <w:bCs/>
        </w:rPr>
        <w:t xml:space="preserve">continuously </w:t>
      </w:r>
      <w:r w:rsidRPr="00425166">
        <w:rPr>
          <w:b/>
          <w:bCs/>
        </w:rPr>
        <w:t xml:space="preserve">across RRC states in order to determine performance degradation and to improve performance.   </w:t>
      </w:r>
    </w:p>
    <w:p w14:paraId="04621279" w14:textId="514E5172" w:rsidR="004C27F9" w:rsidRPr="0060284E" w:rsidRDefault="00AA6232" w:rsidP="0060284E">
      <w:pPr>
        <w:rPr>
          <w:rFonts w:ascii="Arial" w:hAnsi="Arial" w:cs="Arial"/>
          <w:spacing w:val="2"/>
          <w:lang w:val="en-US"/>
        </w:rPr>
      </w:pPr>
      <w:r>
        <w:t xml:space="preserve">It was brought up in the previous meeting that </w:t>
      </w:r>
      <w:r w:rsidR="00C33D7D">
        <w:t>S</w:t>
      </w:r>
      <w:r>
        <w:t>ignalling</w:t>
      </w:r>
      <w:r w:rsidR="00C33D7D">
        <w:t>-</w:t>
      </w:r>
      <w:r>
        <w:t xml:space="preserve">based MDT has limitations </w:t>
      </w:r>
      <w:r w:rsidR="000C4C72">
        <w:t>that</w:t>
      </w:r>
      <w:r w:rsidR="00C33D7D">
        <w:t xml:space="preserve"> it cannot provide data continuity when a UE moves from idle to connected</w:t>
      </w:r>
      <w:r w:rsidR="008F2F6F">
        <w:t xml:space="preserve"> mode</w:t>
      </w:r>
      <w:r w:rsidR="00C33D7D">
        <w:t xml:space="preserve"> </w:t>
      </w:r>
      <w:r w:rsidR="000C4C72">
        <w:t>since</w:t>
      </w:r>
      <w:r w:rsidR="00C33D7D">
        <w:t xml:space="preserve"> the serving node needs to establish a UE context before it receive</w:t>
      </w:r>
      <w:r w:rsidR="00AF3629">
        <w:t>s</w:t>
      </w:r>
      <w:r w:rsidR="00C33D7D">
        <w:t xml:space="preserve"> </w:t>
      </w:r>
      <w:r w:rsidR="00AF3629">
        <w:t>s</w:t>
      </w:r>
      <w:r w:rsidR="00C33D7D">
        <w:t>ignalling</w:t>
      </w:r>
      <w:r w:rsidR="000C4C72">
        <w:t xml:space="preserve">-based MDT </w:t>
      </w:r>
      <w:r w:rsidR="00AF3629">
        <w:t>c</w:t>
      </w:r>
      <w:r w:rsidR="000C4C72">
        <w:t>onfiguration for the UE.</w:t>
      </w:r>
      <w:r w:rsidR="00C33D7D">
        <w:t xml:space="preserve"> </w:t>
      </w:r>
      <w:r w:rsidR="007F0E20">
        <w:t xml:space="preserve">In addition, it was argued that </w:t>
      </w:r>
      <w:r w:rsidR="00AF3629">
        <w:t>s</w:t>
      </w:r>
      <w:r w:rsidR="007F0E20">
        <w:t xml:space="preserve">ignalling-based MDT </w:t>
      </w:r>
      <w:r w:rsidR="00BB7EF9">
        <w:t xml:space="preserve">is signalling and processing intensive </w:t>
      </w:r>
      <w:r w:rsidR="00C122C4">
        <w:t xml:space="preserve">since </w:t>
      </w:r>
      <w:r w:rsidR="006D51B6">
        <w:t>NGAP procedur</w:t>
      </w:r>
      <w:r w:rsidR="00B95BD7">
        <w:t>e</w:t>
      </w:r>
      <w:r w:rsidR="006D51B6">
        <w:t xml:space="preserve">s need to be started and signalling-based MDT context needs to be maintained at the </w:t>
      </w:r>
      <w:r w:rsidR="00B95BD7">
        <w:t xml:space="preserve">serving node. </w:t>
      </w:r>
      <w:r w:rsidR="000C4C72">
        <w:t xml:space="preserve">However, as it can be seen in </w:t>
      </w:r>
      <w:r w:rsidR="008519F1">
        <w:fldChar w:fldCharType="begin"/>
      </w:r>
      <w:r w:rsidR="008519F1">
        <w:instrText xml:space="preserve"> REF _Ref134179887 \h </w:instrText>
      </w:r>
      <w:r w:rsidR="008519F1">
        <w:fldChar w:fldCharType="separate"/>
      </w:r>
      <w:r w:rsidR="008519F1">
        <w:t xml:space="preserve">Figure </w:t>
      </w:r>
      <w:r w:rsidR="008519F1">
        <w:rPr>
          <w:noProof/>
        </w:rPr>
        <w:t>1</w:t>
      </w:r>
      <w:r w:rsidR="008519F1">
        <w:fldChar w:fldCharType="end"/>
      </w:r>
      <w:r w:rsidR="008519F1">
        <w:t xml:space="preserve"> describing</w:t>
      </w:r>
      <w:r w:rsidR="00597F6D">
        <w:t xml:space="preserve"> the</w:t>
      </w:r>
      <w:r w:rsidR="008519F1">
        <w:t xml:space="preserve"> UE initial access procedure</w:t>
      </w:r>
      <w:r w:rsidR="00745436">
        <w:t xml:space="preserve"> (TS 38.401)</w:t>
      </w:r>
      <w:r w:rsidR="008519F1">
        <w:t xml:space="preserve">, the </w:t>
      </w:r>
      <w:r w:rsidR="008519F1" w:rsidRPr="001D0275">
        <w:rPr>
          <w:i/>
          <w:iCs/>
        </w:rPr>
        <w:t>Trace Activation</w:t>
      </w:r>
      <w:r w:rsidR="00AF3629">
        <w:t xml:space="preserve"> IE</w:t>
      </w:r>
      <w:r w:rsidR="000A2C0E">
        <w:t>, containing the MDT configuration,</w:t>
      </w:r>
      <w:r w:rsidR="008519F1">
        <w:t xml:space="preserve"> is included in the Initial Context Setup Request </w:t>
      </w:r>
      <w:r w:rsidR="00FE4E73">
        <w:t>message (step 8)</w:t>
      </w:r>
      <w:r w:rsidR="00597F6D">
        <w:t xml:space="preserve"> and is </w:t>
      </w:r>
      <w:r w:rsidR="008F2F6F">
        <w:t xml:space="preserve">received at the </w:t>
      </w:r>
      <w:r w:rsidR="00597F6D">
        <w:t xml:space="preserve">serving node </w:t>
      </w:r>
      <w:r w:rsidR="008F2F6F">
        <w:t>as part of the initial access procedure</w:t>
      </w:r>
      <w:r w:rsidR="00745436">
        <w:t>.</w:t>
      </w:r>
      <w:r w:rsidR="008F2F6F">
        <w:t xml:space="preserve"> </w:t>
      </w:r>
      <w:r w:rsidR="00745436">
        <w:t>Therefore</w:t>
      </w:r>
      <w:r w:rsidR="00C122C4">
        <w:t>,</w:t>
      </w:r>
      <w:r w:rsidR="00745436">
        <w:t xml:space="preserve"> </w:t>
      </w:r>
      <w:r w:rsidR="00AF3629">
        <w:t>s</w:t>
      </w:r>
      <w:r w:rsidR="00745436">
        <w:t xml:space="preserve">ignalling-based configuration </w:t>
      </w:r>
      <w:r w:rsidR="00C122C4">
        <w:t xml:space="preserve">is received at the serving node as part of the initial access procedure and </w:t>
      </w:r>
      <w:r w:rsidR="00745436">
        <w:t xml:space="preserve">is already available at the serving node before </w:t>
      </w:r>
      <w:r w:rsidR="008F2F6F">
        <w:t>the UE enters connected mode (</w:t>
      </w:r>
      <w:r w:rsidR="00597F6D">
        <w:t xml:space="preserve">sends </w:t>
      </w:r>
      <w:r w:rsidR="00597F6D" w:rsidRPr="0060284E">
        <w:rPr>
          <w:i/>
          <w:iCs/>
        </w:rPr>
        <w:t>RRCReconfigurationComplete</w:t>
      </w:r>
      <w:r w:rsidR="00597F6D">
        <w:t xml:space="preserve"> message</w:t>
      </w:r>
      <w:r w:rsidR="008F2F6F">
        <w:t>).</w:t>
      </w:r>
    </w:p>
    <w:p w14:paraId="38DDBB15" w14:textId="77777777" w:rsidR="004C27F9" w:rsidRDefault="00381B16" w:rsidP="0060284E">
      <w:pPr>
        <w:keepNext/>
        <w:keepLines/>
        <w:tabs>
          <w:tab w:val="left" w:pos="2552"/>
          <w:tab w:val="left" w:pos="3856"/>
          <w:tab w:val="left" w:pos="5216"/>
          <w:tab w:val="left" w:pos="6464"/>
          <w:tab w:val="left" w:pos="7768"/>
          <w:tab w:val="left" w:pos="9072"/>
          <w:tab w:val="left" w:pos="9639"/>
        </w:tabs>
        <w:jc w:val="center"/>
      </w:pPr>
      <w:r w:rsidRPr="004C27F9">
        <w:rPr>
          <w:rFonts w:ascii="Calibri" w:eastAsia="Calibri" w:hAnsi="Calibri" w:cs="Arial"/>
          <w:sz w:val="22"/>
          <w:szCs w:val="22"/>
          <w:lang w:val="en-US" w:eastAsia="en-US"/>
        </w:rPr>
        <w:object w:dxaOrig="7597" w:dyaOrig="5521" w14:anchorId="536F0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65pt;height:247.65pt" o:ole="">
            <v:imagedata r:id="rId13" o:title=""/>
          </v:shape>
          <o:OLEObject Type="Embed" ProgID="Visio.Drawing.11" ShapeID="_x0000_i1025" DrawAspect="Content" ObjectID="_1745363119" r:id="rId14"/>
        </w:object>
      </w:r>
    </w:p>
    <w:p w14:paraId="2486A86C" w14:textId="4B3B3270" w:rsidR="001B22AA" w:rsidRPr="0060284E" w:rsidRDefault="004C27F9" w:rsidP="0060284E">
      <w:pPr>
        <w:pStyle w:val="Caption"/>
        <w:jc w:val="center"/>
      </w:pPr>
      <w:bookmarkStart w:id="1" w:name="_Ref134179887"/>
      <w:r>
        <w:t xml:space="preserve">Figure </w:t>
      </w:r>
      <w:r>
        <w:fldChar w:fldCharType="begin"/>
      </w:r>
      <w:r>
        <w:instrText xml:space="preserve"> SEQ Figure \* ARABIC </w:instrText>
      </w:r>
      <w:r>
        <w:fldChar w:fldCharType="separate"/>
      </w:r>
      <w:r>
        <w:rPr>
          <w:noProof/>
        </w:rPr>
        <w:t>1</w:t>
      </w:r>
      <w:r>
        <w:fldChar w:fldCharType="end"/>
      </w:r>
      <w:bookmarkEnd w:id="1"/>
      <w:r>
        <w:t xml:space="preserve"> UE </w:t>
      </w:r>
      <w:r w:rsidR="00BD7A59">
        <w:t>Initial Access Procedure</w:t>
      </w:r>
      <w:r>
        <w:t xml:space="preserve"> (call flow from TS 38.401)</w:t>
      </w:r>
    </w:p>
    <w:p w14:paraId="332B9C54" w14:textId="3CE73388" w:rsidR="0088365D" w:rsidRPr="0060284E" w:rsidRDefault="0088365D" w:rsidP="00033174">
      <w:pPr>
        <w:rPr>
          <w:b/>
          <w:bCs/>
          <w:lang w:val="en-US"/>
        </w:rPr>
      </w:pPr>
      <w:r w:rsidRPr="0060284E">
        <w:rPr>
          <w:b/>
          <w:bCs/>
        </w:rPr>
        <w:t xml:space="preserve">Observation 2: Signalling-based </w:t>
      </w:r>
      <w:r w:rsidR="00AF3629">
        <w:rPr>
          <w:b/>
          <w:bCs/>
        </w:rPr>
        <w:t xml:space="preserve">MDT </w:t>
      </w:r>
      <w:r w:rsidRPr="0060284E">
        <w:rPr>
          <w:b/>
          <w:bCs/>
        </w:rPr>
        <w:t>configuration is received at the serving node as part of the initial access procedure and is already available at the serving node before the UE enters connected mode</w:t>
      </w:r>
      <w:r>
        <w:rPr>
          <w:b/>
          <w:bCs/>
        </w:rPr>
        <w:t>.</w:t>
      </w:r>
    </w:p>
    <w:p w14:paraId="7D973939" w14:textId="44976DF0" w:rsidR="00033174" w:rsidRDefault="00033174" w:rsidP="00033174">
      <w:pPr>
        <w:rPr>
          <w:lang w:val="en-US"/>
        </w:rPr>
      </w:pPr>
      <w:r>
        <w:rPr>
          <w:lang w:val="en-US"/>
        </w:rPr>
        <w:t xml:space="preserve">Furthermore, </w:t>
      </w:r>
      <w:r w:rsidR="00425047">
        <w:rPr>
          <w:lang w:val="en-US"/>
        </w:rPr>
        <w:t xml:space="preserve">MDT continuity is also possible </w:t>
      </w:r>
      <w:r>
        <w:rPr>
          <w:lang w:val="en-US"/>
        </w:rPr>
        <w:t xml:space="preserve">for </w:t>
      </w:r>
      <w:r w:rsidR="000A2C0E">
        <w:rPr>
          <w:lang w:val="en-US"/>
        </w:rPr>
        <w:t>m</w:t>
      </w:r>
      <w:r>
        <w:rPr>
          <w:lang w:val="en-US"/>
        </w:rPr>
        <w:t>anagement-based MDT</w:t>
      </w:r>
      <w:r w:rsidR="00425047">
        <w:rPr>
          <w:lang w:val="en-US"/>
        </w:rPr>
        <w:t>.</w:t>
      </w:r>
      <w:r>
        <w:rPr>
          <w:lang w:val="en-US"/>
        </w:rPr>
        <w:t xml:space="preserve"> </w:t>
      </w:r>
      <w:r w:rsidR="00425047">
        <w:rPr>
          <w:lang w:val="en-US"/>
        </w:rPr>
        <w:t>A</w:t>
      </w:r>
      <w:r>
        <w:rPr>
          <w:lang w:val="en-US"/>
        </w:rPr>
        <w:t xml:space="preserve"> UE in RRC idle state that is configured with Logged MDT </w:t>
      </w:r>
      <w:r w:rsidR="00425047">
        <w:rPr>
          <w:lang w:val="en-US"/>
        </w:rPr>
        <w:t xml:space="preserve">may </w:t>
      </w:r>
      <w:r>
        <w:rPr>
          <w:lang w:val="en-US"/>
        </w:rPr>
        <w:t xml:space="preserve">indicate to network data availability when it goes to RRC connected state. At this point, the network may, if needed, subsequently configure the UE with Immediate MDT. Similarly if a UE is in RRC connected state and switches to RRC idle or inactive it may provide the network with logged MDT information to deliver to network when it goes back to RRC connected state, including the full reference of the logged MDT session (TR/TRSR). If a UE is transitioning among RRC connected and RRC idle/inactive states within the same NG-RAN node, based on </w:t>
      </w:r>
      <w:r>
        <w:rPr>
          <w:lang w:val="en-US"/>
        </w:rPr>
        <w:lastRenderedPageBreak/>
        <w:t>the provided MDT session references, the current MDT framework therefore enables the network to constitute a continuous (uninterrupted) measurement series by linking the Immediate MDT data and the Logged MDT data.  In inter-gNB scenarios, the TCE can constitute continuous measurement series based on the availability of permanent UE ID</w:t>
      </w:r>
      <w:r w:rsidR="000A2C0E">
        <w:rPr>
          <w:lang w:val="en-US"/>
        </w:rPr>
        <w:t xml:space="preserve"> provided by the core network (Cell Traffic Trace mechanism)</w:t>
      </w:r>
      <w:r>
        <w:rPr>
          <w:lang w:val="en-US"/>
        </w:rPr>
        <w:t xml:space="preserve">. </w:t>
      </w:r>
      <w:r w:rsidRPr="00981004">
        <w:rPr>
          <w:lang w:val="en-US"/>
        </w:rPr>
        <w:t>As</w:t>
      </w:r>
      <w:r>
        <w:rPr>
          <w:lang w:val="en-US"/>
        </w:rPr>
        <w:t xml:space="preserve"> it can be observed, a UE can be configured by the operator with two different trace sessions, one for Logged MDT and one for Immediate MDT, and the UE can still be identified by the operator. </w:t>
      </w:r>
    </w:p>
    <w:p w14:paraId="2D7B3B1E" w14:textId="3C13DB59" w:rsidR="00033174" w:rsidRDefault="00033174" w:rsidP="00033174">
      <w:pPr>
        <w:rPr>
          <w:b/>
          <w:bCs/>
          <w:lang w:val="en-US"/>
        </w:rPr>
      </w:pPr>
      <w:r w:rsidRPr="001A7282">
        <w:rPr>
          <w:b/>
          <w:bCs/>
          <w:lang w:val="en-US"/>
        </w:rPr>
        <w:t>Observation</w:t>
      </w:r>
      <w:r>
        <w:rPr>
          <w:b/>
          <w:bCs/>
          <w:lang w:val="en-US"/>
        </w:rPr>
        <w:t xml:space="preserve"> </w:t>
      </w:r>
      <w:r w:rsidR="00F836CE">
        <w:rPr>
          <w:b/>
          <w:bCs/>
          <w:lang w:val="en-US"/>
        </w:rPr>
        <w:t>3</w:t>
      </w:r>
      <w:r w:rsidRPr="001A7282">
        <w:rPr>
          <w:b/>
          <w:bCs/>
          <w:lang w:val="en-US"/>
        </w:rPr>
        <w:t xml:space="preserve">: </w:t>
      </w:r>
      <w:r w:rsidR="00C20318">
        <w:rPr>
          <w:b/>
          <w:bCs/>
          <w:lang w:val="en-US"/>
        </w:rPr>
        <w:t>For management</w:t>
      </w:r>
      <w:r w:rsidR="00624ACB">
        <w:rPr>
          <w:b/>
          <w:bCs/>
          <w:lang w:val="en-US"/>
        </w:rPr>
        <w:t>-</w:t>
      </w:r>
      <w:r w:rsidR="00C20318">
        <w:rPr>
          <w:b/>
          <w:bCs/>
          <w:lang w:val="en-US"/>
        </w:rPr>
        <w:t>based</w:t>
      </w:r>
      <w:r w:rsidR="009C77D5">
        <w:rPr>
          <w:b/>
          <w:bCs/>
          <w:lang w:val="en-US"/>
        </w:rPr>
        <w:t xml:space="preserve"> MDT, i</w:t>
      </w:r>
      <w:r w:rsidRPr="001A7282">
        <w:rPr>
          <w:b/>
          <w:bCs/>
          <w:lang w:val="en-US"/>
        </w:rPr>
        <w:t>f a UE is transitioning among RRC connected and RRC idle/inactive states within the same NG-RAN node</w:t>
      </w:r>
      <w:r w:rsidR="00D73C68">
        <w:rPr>
          <w:b/>
          <w:bCs/>
          <w:lang w:val="en-US"/>
        </w:rPr>
        <w:t xml:space="preserve"> or in inter-gNB scenarios</w:t>
      </w:r>
      <w:r w:rsidRPr="00A60010">
        <w:rPr>
          <w:b/>
          <w:bCs/>
          <w:lang w:val="en-US"/>
        </w:rPr>
        <w:t>, the TCE can constitute continuous measurement series based on the availability of permanent UE ID.</w:t>
      </w:r>
    </w:p>
    <w:p w14:paraId="33A1A6C9" w14:textId="7D81FA66" w:rsidR="002F027A" w:rsidRDefault="00F836CE" w:rsidP="00CD4C7B">
      <w:pPr>
        <w:pStyle w:val="00BodyText"/>
        <w:spacing w:after="0"/>
        <w:rPr>
          <w:rFonts w:ascii="Times New Roman" w:hAnsi="Times New Roman"/>
          <w:sz w:val="20"/>
          <w:lang w:val="en-GB"/>
        </w:rPr>
      </w:pPr>
      <w:r>
        <w:rPr>
          <w:rFonts w:ascii="Times New Roman" w:hAnsi="Times New Roman"/>
          <w:sz w:val="20"/>
          <w:lang w:val="en-GB"/>
        </w:rPr>
        <w:t xml:space="preserve">Based on the above, it can be established that continuous MDT is already supported with the current MDT framework. </w:t>
      </w:r>
      <w:r w:rsidR="00502EB4">
        <w:rPr>
          <w:rFonts w:ascii="Times New Roman" w:hAnsi="Times New Roman"/>
          <w:sz w:val="20"/>
          <w:lang w:val="en-GB"/>
        </w:rPr>
        <w:t xml:space="preserve">Whether </w:t>
      </w:r>
      <w:r>
        <w:rPr>
          <w:rFonts w:ascii="Times New Roman" w:hAnsi="Times New Roman"/>
          <w:sz w:val="20"/>
          <w:lang w:val="en-GB"/>
        </w:rPr>
        <w:t xml:space="preserve">we need to consider </w:t>
      </w:r>
      <w:r w:rsidR="00502EB4">
        <w:rPr>
          <w:rFonts w:ascii="Times New Roman" w:hAnsi="Times New Roman"/>
          <w:sz w:val="20"/>
          <w:lang w:val="en-GB"/>
        </w:rPr>
        <w:t>further continuity</w:t>
      </w:r>
      <w:r w:rsidR="00893918">
        <w:rPr>
          <w:rFonts w:ascii="Times New Roman" w:hAnsi="Times New Roman"/>
          <w:sz w:val="20"/>
          <w:lang w:val="en-GB"/>
        </w:rPr>
        <w:t xml:space="preserve"> requirements</w:t>
      </w:r>
      <w:r w:rsidR="00502EB4">
        <w:rPr>
          <w:rFonts w:ascii="Times New Roman" w:hAnsi="Times New Roman"/>
          <w:sz w:val="20"/>
          <w:lang w:val="en-GB"/>
        </w:rPr>
        <w:t xml:space="preserve"> depends on the </w:t>
      </w:r>
      <w:r w:rsidR="00650902">
        <w:rPr>
          <w:rFonts w:ascii="Times New Roman" w:hAnsi="Times New Roman"/>
          <w:sz w:val="20"/>
          <w:lang w:val="en-GB"/>
        </w:rPr>
        <w:t xml:space="preserve">requirements imposed by the </w:t>
      </w:r>
      <w:r w:rsidR="00502EB4">
        <w:rPr>
          <w:rFonts w:ascii="Times New Roman" w:hAnsi="Times New Roman"/>
          <w:sz w:val="20"/>
          <w:lang w:val="en-GB"/>
        </w:rPr>
        <w:t>use cases</w:t>
      </w:r>
      <w:r>
        <w:rPr>
          <w:rFonts w:ascii="Times New Roman" w:hAnsi="Times New Roman"/>
          <w:sz w:val="20"/>
          <w:lang w:val="en-GB"/>
        </w:rPr>
        <w:t xml:space="preserve"> for which data is collected. </w:t>
      </w:r>
      <w:r w:rsidR="00650902">
        <w:rPr>
          <w:rFonts w:ascii="Times New Roman" w:hAnsi="Times New Roman"/>
          <w:sz w:val="20"/>
          <w:lang w:val="en-GB"/>
        </w:rPr>
        <w:t>Below, we provide our views on this aspect.</w:t>
      </w:r>
    </w:p>
    <w:p w14:paraId="1F3795AA" w14:textId="77777777" w:rsidR="009938EB" w:rsidRDefault="009938EB" w:rsidP="00CD4C7B">
      <w:pPr>
        <w:pStyle w:val="00BodyText"/>
        <w:spacing w:after="0"/>
        <w:rPr>
          <w:rFonts w:ascii="Times New Roman" w:hAnsi="Times New Roman"/>
          <w:sz w:val="20"/>
          <w:lang w:val="en-GB"/>
        </w:rPr>
      </w:pPr>
    </w:p>
    <w:p w14:paraId="2C599230" w14:textId="291C7D53" w:rsidR="00893918" w:rsidRPr="0060284E" w:rsidRDefault="00A6007F" w:rsidP="0060284E">
      <w:pPr>
        <w:pStyle w:val="Heading1"/>
      </w:pPr>
      <w:r>
        <w:t>3</w:t>
      </w:r>
      <w:r w:rsidR="002F027A" w:rsidRPr="009F1851">
        <w:t xml:space="preserve"> </w:t>
      </w:r>
      <w:r w:rsidR="009F1851">
        <w:tab/>
      </w:r>
      <w:r>
        <w:t xml:space="preserve">Continuous </w:t>
      </w:r>
      <w:r w:rsidR="002F027A" w:rsidRPr="009F1851">
        <w:t xml:space="preserve">MDT </w:t>
      </w:r>
      <w:r w:rsidR="00F836CE" w:rsidRPr="009F1851">
        <w:t>Data Collection for</w:t>
      </w:r>
      <w:r w:rsidR="002F027A" w:rsidRPr="009F1851">
        <w:t xml:space="preserve"> Rel.18 </w:t>
      </w:r>
      <w:r w:rsidR="00F836CE" w:rsidRPr="009F1851">
        <w:t>U</w:t>
      </w:r>
      <w:r w:rsidR="002F027A" w:rsidRPr="009F1851">
        <w:t xml:space="preserve">se </w:t>
      </w:r>
      <w:r w:rsidR="00F836CE" w:rsidRPr="009F1851">
        <w:t>C</w:t>
      </w:r>
      <w:r w:rsidR="002F027A" w:rsidRPr="009F1851">
        <w:t>ases</w:t>
      </w:r>
    </w:p>
    <w:p w14:paraId="002C8999" w14:textId="233E52E2" w:rsidR="00BF604A" w:rsidRPr="00893918" w:rsidRDefault="00BF604A" w:rsidP="00BF604A">
      <w:pPr>
        <w:rPr>
          <w:lang w:val="en-IN"/>
        </w:rPr>
      </w:pPr>
      <w:r w:rsidRPr="00893918">
        <w:rPr>
          <w:lang w:val="en-IN"/>
        </w:rPr>
        <w:t xml:space="preserve">The following are UE input data for the 3 </w:t>
      </w:r>
      <w:r w:rsidR="00893918">
        <w:rPr>
          <w:lang w:val="en-IN"/>
        </w:rPr>
        <w:t xml:space="preserve">prioritized </w:t>
      </w:r>
      <w:r w:rsidRPr="00893918">
        <w:rPr>
          <w:lang w:val="en-IN"/>
        </w:rPr>
        <w:t>Rel-18 use cases</w:t>
      </w:r>
      <w:r w:rsidR="00893918">
        <w:rPr>
          <w:lang w:val="en-IN"/>
        </w:rPr>
        <w:t>,</w:t>
      </w:r>
      <w:r w:rsidRPr="00893918">
        <w:rPr>
          <w:lang w:val="en-IN"/>
        </w:rPr>
        <w:t xml:space="preserve"> </w:t>
      </w:r>
      <w:r w:rsidR="00B63663">
        <w:rPr>
          <w:lang w:val="en-IN"/>
        </w:rPr>
        <w:t>that could be provided to network through the MDT framework:</w:t>
      </w:r>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698"/>
      </w:tblGrid>
      <w:tr w:rsidR="00BF604A" w:rsidRPr="00893918" w14:paraId="2CF7D83C" w14:textId="77777777" w:rsidTr="0060284E">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7A756D9" w14:textId="28FE7894" w:rsidR="00BF604A" w:rsidRDefault="00BF604A">
            <w:pPr>
              <w:spacing w:after="0"/>
              <w:jc w:val="center"/>
              <w:rPr>
                <w:b/>
                <w:bCs/>
                <w:lang w:val="en-IN"/>
              </w:rPr>
            </w:pPr>
            <w:r>
              <w:rPr>
                <w:rFonts w:eastAsia="Calibri"/>
                <w:b/>
                <w:bCs/>
                <w:sz w:val="22"/>
                <w:szCs w:val="22"/>
                <w:lang w:val="en-IN"/>
              </w:rPr>
              <w:t xml:space="preserve">R18 </w:t>
            </w:r>
            <w:r w:rsidR="00B63663">
              <w:rPr>
                <w:rFonts w:eastAsia="Calibri"/>
                <w:b/>
                <w:bCs/>
                <w:sz w:val="22"/>
                <w:szCs w:val="22"/>
                <w:lang w:val="en-IN"/>
              </w:rPr>
              <w:t xml:space="preserve">AI/ML </w:t>
            </w:r>
            <w:r>
              <w:rPr>
                <w:rFonts w:eastAsia="Calibri"/>
                <w:b/>
                <w:bCs/>
                <w:sz w:val="22"/>
                <w:szCs w:val="22"/>
                <w:lang w:val="en-IN"/>
              </w:rPr>
              <w:t xml:space="preserve">Use </w:t>
            </w:r>
            <w:r w:rsidR="00893918">
              <w:rPr>
                <w:rFonts w:eastAsia="Calibri"/>
                <w:b/>
                <w:bCs/>
                <w:sz w:val="22"/>
                <w:szCs w:val="22"/>
                <w:lang w:val="en-IN"/>
              </w:rPr>
              <w:t>C</w:t>
            </w:r>
            <w:r>
              <w:rPr>
                <w:rFonts w:eastAsia="Calibri"/>
                <w:b/>
                <w:bCs/>
                <w:sz w:val="22"/>
                <w:szCs w:val="22"/>
                <w:lang w:val="en-IN"/>
              </w:rPr>
              <w:t>ase</w:t>
            </w:r>
            <w:r w:rsidR="00B63663">
              <w:rPr>
                <w:rFonts w:eastAsia="Calibri"/>
                <w:b/>
                <w:bCs/>
                <w:sz w:val="22"/>
                <w:szCs w:val="22"/>
                <w:lang w:val="en-IN"/>
              </w:rPr>
              <w:t>s</w:t>
            </w:r>
          </w:p>
        </w:tc>
        <w:tc>
          <w:tcPr>
            <w:tcW w:w="5698" w:type="dxa"/>
            <w:tcBorders>
              <w:top w:val="single" w:sz="4" w:space="0" w:color="auto"/>
              <w:left w:val="single" w:sz="4" w:space="0" w:color="auto"/>
              <w:bottom w:val="single" w:sz="4" w:space="0" w:color="auto"/>
              <w:right w:val="single" w:sz="4" w:space="0" w:color="auto"/>
            </w:tcBorders>
            <w:shd w:val="clear" w:color="auto" w:fill="auto"/>
            <w:hideMark/>
          </w:tcPr>
          <w:p w14:paraId="79BB995F" w14:textId="4209E3F6" w:rsidR="00BF604A" w:rsidRDefault="00BF604A">
            <w:pPr>
              <w:spacing w:after="0"/>
              <w:jc w:val="center"/>
              <w:rPr>
                <w:b/>
                <w:bCs/>
                <w:lang w:val="en-IN"/>
              </w:rPr>
            </w:pPr>
            <w:r>
              <w:rPr>
                <w:rFonts w:eastAsia="Calibri"/>
                <w:b/>
                <w:bCs/>
                <w:sz w:val="22"/>
                <w:szCs w:val="22"/>
                <w:lang w:val="en-IN"/>
              </w:rPr>
              <w:t xml:space="preserve">Required UE Input Data </w:t>
            </w:r>
          </w:p>
        </w:tc>
      </w:tr>
      <w:tr w:rsidR="00BF604A" w:rsidRPr="00893918" w14:paraId="262FEB06" w14:textId="77777777" w:rsidTr="0060284E">
        <w:tc>
          <w:tcPr>
            <w:tcW w:w="2977" w:type="dxa"/>
            <w:tcBorders>
              <w:top w:val="single" w:sz="4" w:space="0" w:color="auto"/>
              <w:left w:val="single" w:sz="4" w:space="0" w:color="auto"/>
              <w:bottom w:val="single" w:sz="4" w:space="0" w:color="auto"/>
              <w:right w:val="single" w:sz="4" w:space="0" w:color="auto"/>
            </w:tcBorders>
            <w:shd w:val="clear" w:color="auto" w:fill="auto"/>
          </w:tcPr>
          <w:p w14:paraId="3B2F400D" w14:textId="77777777" w:rsidR="00BF604A" w:rsidRPr="0060284E" w:rsidRDefault="00BF604A" w:rsidP="00B63663">
            <w:pPr>
              <w:numPr>
                <w:ilvl w:val="0"/>
                <w:numId w:val="10"/>
              </w:numPr>
              <w:spacing w:after="0"/>
              <w:rPr>
                <w:lang w:val="en-IN"/>
              </w:rPr>
            </w:pPr>
            <w:r>
              <w:rPr>
                <w:rFonts w:eastAsia="Calibri"/>
                <w:sz w:val="22"/>
                <w:szCs w:val="22"/>
                <w:lang w:val="en-IN"/>
              </w:rPr>
              <w:t>Network Energy Saving</w:t>
            </w:r>
          </w:p>
          <w:p w14:paraId="3C277D1D" w14:textId="33C4D42C" w:rsidR="00B63663" w:rsidRPr="0060284E" w:rsidRDefault="00B63663" w:rsidP="00B63663">
            <w:pPr>
              <w:numPr>
                <w:ilvl w:val="0"/>
                <w:numId w:val="10"/>
              </w:numPr>
              <w:spacing w:after="0"/>
              <w:rPr>
                <w:lang w:val="en-IN"/>
              </w:rPr>
            </w:pPr>
            <w:r>
              <w:rPr>
                <w:rFonts w:eastAsia="Calibri"/>
                <w:sz w:val="22"/>
                <w:szCs w:val="22"/>
                <w:lang w:val="en-IN"/>
              </w:rPr>
              <w:t>Load balancing</w:t>
            </w:r>
          </w:p>
          <w:p w14:paraId="210C5B27" w14:textId="00C9AE44" w:rsidR="00B63663" w:rsidRDefault="00B63663" w:rsidP="0060284E">
            <w:pPr>
              <w:numPr>
                <w:ilvl w:val="0"/>
                <w:numId w:val="10"/>
              </w:numPr>
              <w:spacing w:after="0"/>
              <w:rPr>
                <w:lang w:val="en-IN"/>
              </w:rPr>
            </w:pPr>
            <w:r>
              <w:rPr>
                <w:rFonts w:eastAsia="Calibri"/>
                <w:sz w:val="22"/>
                <w:szCs w:val="22"/>
                <w:lang w:val="en-IN"/>
              </w:rPr>
              <w:t>Mobility Enhancements</w:t>
            </w:r>
          </w:p>
          <w:p w14:paraId="1EB90CCA" w14:textId="77777777" w:rsidR="00B63663" w:rsidRDefault="00B63663">
            <w:pPr>
              <w:spacing w:after="0"/>
              <w:rPr>
                <w:lang w:val="en-IN"/>
              </w:rPr>
            </w:pPr>
          </w:p>
        </w:tc>
        <w:tc>
          <w:tcPr>
            <w:tcW w:w="5698" w:type="dxa"/>
            <w:tcBorders>
              <w:top w:val="single" w:sz="4" w:space="0" w:color="auto"/>
              <w:left w:val="single" w:sz="4" w:space="0" w:color="auto"/>
              <w:bottom w:val="single" w:sz="4" w:space="0" w:color="auto"/>
              <w:right w:val="single" w:sz="4" w:space="0" w:color="auto"/>
            </w:tcBorders>
            <w:shd w:val="clear" w:color="auto" w:fill="auto"/>
            <w:hideMark/>
          </w:tcPr>
          <w:p w14:paraId="3C2C6199" w14:textId="77777777" w:rsidR="00BF604A" w:rsidRPr="0060284E" w:rsidRDefault="00BF604A">
            <w:pPr>
              <w:numPr>
                <w:ilvl w:val="0"/>
                <w:numId w:val="6"/>
              </w:numPr>
              <w:spacing w:after="0"/>
              <w:rPr>
                <w:lang w:val="en-IN"/>
              </w:rPr>
            </w:pPr>
            <w:r>
              <w:rPr>
                <w:rFonts w:eastAsia="Calibri"/>
                <w:sz w:val="22"/>
                <w:szCs w:val="22"/>
                <w:lang w:val="en-IN"/>
              </w:rPr>
              <w:t>UE location information (e.g., coordinates, serving cell ID, moving velocity) interpreted by gNB implementation when available</w:t>
            </w:r>
          </w:p>
          <w:p w14:paraId="7077126E" w14:textId="057BD3A7" w:rsidR="00B63663" w:rsidRDefault="00B63663">
            <w:pPr>
              <w:numPr>
                <w:ilvl w:val="0"/>
                <w:numId w:val="6"/>
              </w:numPr>
              <w:spacing w:after="0"/>
              <w:rPr>
                <w:lang w:val="en-IN"/>
              </w:rPr>
            </w:pPr>
            <w:r>
              <w:rPr>
                <w:rFonts w:eastAsia="Calibri"/>
                <w:sz w:val="22"/>
                <w:szCs w:val="22"/>
                <w:lang w:val="en-IN"/>
              </w:rPr>
              <w:t xml:space="preserve">RSRP/RSRQ/SINR radio measurements </w:t>
            </w:r>
          </w:p>
          <w:p w14:paraId="0DA8F79D" w14:textId="614691D0" w:rsidR="00BF604A" w:rsidRDefault="00BF604A" w:rsidP="0060284E">
            <w:pPr>
              <w:spacing w:after="0"/>
              <w:ind w:left="720"/>
              <w:rPr>
                <w:lang w:val="en-IN"/>
              </w:rPr>
            </w:pPr>
          </w:p>
        </w:tc>
      </w:tr>
    </w:tbl>
    <w:p w14:paraId="6F878235" w14:textId="77777777" w:rsidR="005C2DED" w:rsidRDefault="005C2DED" w:rsidP="00BF604A">
      <w:pPr>
        <w:rPr>
          <w:lang w:val="en-IN"/>
        </w:rPr>
      </w:pPr>
    </w:p>
    <w:p w14:paraId="1978D0CF" w14:textId="77777777" w:rsidR="00A875EF" w:rsidRDefault="00D52AB0" w:rsidP="00D52AB0">
      <w:pPr>
        <w:rPr>
          <w:lang w:val="en-US"/>
        </w:rPr>
      </w:pPr>
      <w:r>
        <w:rPr>
          <w:lang w:val="en-US"/>
        </w:rPr>
        <w:t>All the RAN3 Rel.18 use cases in NG-RAN AI/ML are connected mode use cases.</w:t>
      </w:r>
      <w:r w:rsidR="00E769DF">
        <w:rPr>
          <w:lang w:val="en-US"/>
        </w:rPr>
        <w:t xml:space="preserve"> For this reason, when it comes to RSRP/RSRQ/SINR measurements provided by the UE </w:t>
      </w:r>
      <w:r w:rsidR="00E769DF" w:rsidRPr="00D631B3">
        <w:rPr>
          <w:lang w:val="en-US"/>
        </w:rPr>
        <w:t xml:space="preserve">it is unlikely that the corresponding AI/ML models that generate </w:t>
      </w:r>
      <w:r w:rsidR="00E769DF">
        <w:rPr>
          <w:lang w:val="en-US"/>
        </w:rPr>
        <w:t>Model I</w:t>
      </w:r>
      <w:r w:rsidR="00E769DF" w:rsidRPr="00D631B3">
        <w:rPr>
          <w:lang w:val="en-US"/>
        </w:rPr>
        <w:t xml:space="preserve">nference in RRC Connected mode will find </w:t>
      </w:r>
      <w:r w:rsidR="00E769DF">
        <w:rPr>
          <w:lang w:val="en-US"/>
        </w:rPr>
        <w:t xml:space="preserve">RSRP </w:t>
      </w:r>
      <w:r w:rsidR="00E769DF" w:rsidRPr="00D631B3">
        <w:rPr>
          <w:lang w:val="en-US"/>
        </w:rPr>
        <w:t xml:space="preserve">measurements from </w:t>
      </w:r>
      <w:r w:rsidR="00E769DF">
        <w:rPr>
          <w:lang w:val="en-US"/>
        </w:rPr>
        <w:t xml:space="preserve">RRC </w:t>
      </w:r>
      <w:r w:rsidR="00E769DF" w:rsidRPr="00D631B3">
        <w:rPr>
          <w:lang w:val="en-US"/>
        </w:rPr>
        <w:t>Idle</w:t>
      </w:r>
      <w:r w:rsidR="00E769DF">
        <w:rPr>
          <w:lang w:val="en-US"/>
        </w:rPr>
        <w:t>/Inactive</w:t>
      </w:r>
      <w:r w:rsidR="00E769DF" w:rsidRPr="00D631B3">
        <w:rPr>
          <w:lang w:val="en-US"/>
        </w:rPr>
        <w:t xml:space="preserve"> </w:t>
      </w:r>
      <w:r w:rsidR="00E769DF">
        <w:rPr>
          <w:lang w:val="en-US"/>
        </w:rPr>
        <w:t>state</w:t>
      </w:r>
      <w:r w:rsidR="00E769DF" w:rsidRPr="00D631B3">
        <w:rPr>
          <w:lang w:val="en-US"/>
        </w:rPr>
        <w:t xml:space="preserve"> to be </w:t>
      </w:r>
      <w:r w:rsidR="00E769DF">
        <w:rPr>
          <w:lang w:val="en-US"/>
        </w:rPr>
        <w:t xml:space="preserve">a </w:t>
      </w:r>
      <w:r w:rsidR="00E769DF" w:rsidRPr="00D631B3">
        <w:rPr>
          <w:lang w:val="en-US"/>
        </w:rPr>
        <w:t>useful</w:t>
      </w:r>
      <w:r w:rsidR="00E769DF">
        <w:rPr>
          <w:lang w:val="en-US"/>
        </w:rPr>
        <w:t xml:space="preserve"> input</w:t>
      </w:r>
      <w:r w:rsidR="00E769DF" w:rsidRPr="00D631B3">
        <w:rPr>
          <w:lang w:val="en-US"/>
        </w:rPr>
        <w:t>.</w:t>
      </w:r>
      <w:r w:rsidR="00E769DF">
        <w:rPr>
          <w:lang w:val="en-US"/>
        </w:rPr>
        <w:t xml:space="preserve"> </w:t>
      </w:r>
    </w:p>
    <w:p w14:paraId="58DCB134" w14:textId="43C7F8D0" w:rsidR="00A875EF" w:rsidRPr="0060284E" w:rsidRDefault="00A875EF" w:rsidP="00D52AB0">
      <w:pPr>
        <w:rPr>
          <w:b/>
          <w:bCs/>
          <w:lang w:val="en-US"/>
        </w:rPr>
      </w:pPr>
      <w:r w:rsidRPr="0060284E">
        <w:rPr>
          <w:b/>
          <w:bCs/>
          <w:lang w:val="en-US"/>
        </w:rPr>
        <w:t>Observation</w:t>
      </w:r>
      <w:r w:rsidR="00300E06">
        <w:rPr>
          <w:b/>
          <w:bCs/>
          <w:lang w:val="en-US"/>
        </w:rPr>
        <w:t xml:space="preserve"> 4</w:t>
      </w:r>
      <w:r w:rsidRPr="0060284E">
        <w:rPr>
          <w:b/>
          <w:bCs/>
          <w:lang w:val="en-US"/>
        </w:rPr>
        <w:t xml:space="preserve">: Continuous MDT for </w:t>
      </w:r>
      <w:r w:rsidR="00300E06" w:rsidRPr="0060284E">
        <w:rPr>
          <w:b/>
          <w:bCs/>
          <w:lang w:val="en-US"/>
        </w:rPr>
        <w:t>radio measurements (RSRP/RSRQ/SINR) does not seem to have clear benefits for the Rel.18 use cases which are connected mode use cases.</w:t>
      </w:r>
    </w:p>
    <w:p w14:paraId="7D1F3BCA" w14:textId="0D921E0A" w:rsidR="00D52AB0" w:rsidRDefault="00D52AB0" w:rsidP="00D52AB0">
      <w:pPr>
        <w:rPr>
          <w:lang w:val="en-US"/>
        </w:rPr>
      </w:pPr>
      <w:r>
        <w:rPr>
          <w:lang w:val="en-US"/>
        </w:rPr>
        <w:t xml:space="preserve">When it comes to location information, the trajectory prediction under discussion for </w:t>
      </w:r>
      <w:r w:rsidR="005C6E33">
        <w:rPr>
          <w:lang w:val="en-US"/>
        </w:rPr>
        <w:t xml:space="preserve">AI/ML </w:t>
      </w:r>
      <w:r>
        <w:rPr>
          <w:lang w:val="en-US"/>
        </w:rPr>
        <w:t xml:space="preserve">Mobility Optimization is cell-based predicted UE Trajectory, which can be obtained using UE History Information from UE and neighbouring nodes. We believe that consecutive detailed UE location information is not needed to train an ML Model for cell-based UE Trajectory prediction. </w:t>
      </w:r>
      <w:r w:rsidR="00BA77A4">
        <w:rPr>
          <w:lang w:val="en-US"/>
        </w:rPr>
        <w:t xml:space="preserve">In fact, in our view it is very hard to </w:t>
      </w:r>
      <w:r w:rsidR="00AD6374">
        <w:rPr>
          <w:lang w:val="en-US"/>
        </w:rPr>
        <w:t xml:space="preserve">reliably </w:t>
      </w:r>
      <w:r w:rsidR="00BA77A4">
        <w:rPr>
          <w:lang w:val="en-US"/>
        </w:rPr>
        <w:t>correlate detailed location information to a cell.</w:t>
      </w:r>
      <w:r>
        <w:rPr>
          <w:lang w:val="en-US"/>
        </w:rPr>
        <w:t xml:space="preserve">   </w:t>
      </w:r>
    </w:p>
    <w:p w14:paraId="3245A8F9" w14:textId="650759C9" w:rsidR="00D52AB0" w:rsidRDefault="00D52AB0" w:rsidP="00D52AB0">
      <w:pPr>
        <w:rPr>
          <w:b/>
          <w:bCs/>
          <w:lang w:val="en-US"/>
        </w:rPr>
      </w:pPr>
      <w:r w:rsidRPr="005E25BA">
        <w:rPr>
          <w:b/>
          <w:bCs/>
          <w:lang w:val="en-US"/>
        </w:rPr>
        <w:t>Observation</w:t>
      </w:r>
      <w:r>
        <w:rPr>
          <w:b/>
          <w:bCs/>
          <w:lang w:val="en-US"/>
        </w:rPr>
        <w:t xml:space="preserve"> </w:t>
      </w:r>
      <w:r w:rsidR="00300E06">
        <w:rPr>
          <w:b/>
          <w:bCs/>
          <w:lang w:val="en-US"/>
        </w:rPr>
        <w:t>5</w:t>
      </w:r>
      <w:r w:rsidRPr="005E25BA">
        <w:rPr>
          <w:b/>
          <w:bCs/>
          <w:lang w:val="en-US"/>
        </w:rPr>
        <w:t xml:space="preserve">: </w:t>
      </w:r>
      <w:r>
        <w:rPr>
          <w:b/>
          <w:bCs/>
          <w:lang w:val="en-US"/>
        </w:rPr>
        <w:t>C</w:t>
      </w:r>
      <w:r w:rsidRPr="005E25BA">
        <w:rPr>
          <w:b/>
          <w:bCs/>
          <w:lang w:val="en-US"/>
        </w:rPr>
        <w:t xml:space="preserve">ontinuous MDT </w:t>
      </w:r>
      <w:r>
        <w:rPr>
          <w:b/>
          <w:bCs/>
          <w:lang w:val="en-US"/>
        </w:rPr>
        <w:t xml:space="preserve">for detailed location information does not have clear benefits for the solutions related to the </w:t>
      </w:r>
      <w:r w:rsidRPr="005E25BA">
        <w:rPr>
          <w:b/>
          <w:bCs/>
          <w:lang w:val="en-US"/>
        </w:rPr>
        <w:t xml:space="preserve">Rel.18 </w:t>
      </w:r>
      <w:r>
        <w:rPr>
          <w:b/>
          <w:bCs/>
          <w:lang w:val="en-US"/>
        </w:rPr>
        <w:t xml:space="preserve">NG-RAN AI/ML </w:t>
      </w:r>
      <w:r w:rsidRPr="005E25BA">
        <w:rPr>
          <w:b/>
          <w:bCs/>
          <w:lang w:val="en-US"/>
        </w:rPr>
        <w:t>use cases</w:t>
      </w:r>
      <w:r>
        <w:rPr>
          <w:b/>
          <w:bCs/>
          <w:lang w:val="en-US"/>
        </w:rPr>
        <w:t xml:space="preserve"> e.g., for cell-based UE Trajectory prediction.</w:t>
      </w:r>
      <w:r w:rsidRPr="005E25BA">
        <w:rPr>
          <w:b/>
          <w:bCs/>
          <w:lang w:val="en-US"/>
        </w:rPr>
        <w:t xml:space="preserve">  </w:t>
      </w:r>
    </w:p>
    <w:p w14:paraId="1C315112" w14:textId="6DD388EE" w:rsidR="002F027A" w:rsidRDefault="00A6007F" w:rsidP="0060284E">
      <w:pPr>
        <w:pStyle w:val="Heading1"/>
      </w:pPr>
      <w:r w:rsidRPr="0060284E">
        <w:t>4</w:t>
      </w:r>
      <w:r w:rsidR="002F027A">
        <w:t xml:space="preserve"> </w:t>
      </w:r>
      <w:r w:rsidR="009F1851">
        <w:tab/>
      </w:r>
      <w:r w:rsidR="002F027A">
        <w:t>Impacts on MDT feature</w:t>
      </w:r>
      <w:r w:rsidR="00A6759E">
        <w:t xml:space="preserve"> by introducing further continuity enhancements</w:t>
      </w:r>
    </w:p>
    <w:p w14:paraId="37EF9002" w14:textId="77123D2A" w:rsidR="0099013A" w:rsidRDefault="002D01C6" w:rsidP="0099013A">
      <w:r>
        <w:t>As described above</w:t>
      </w:r>
      <w:r w:rsidR="00710A00">
        <w:t>,</w:t>
      </w:r>
      <w:r>
        <w:t xml:space="preserve"> in our view</w:t>
      </w:r>
      <w:r w:rsidR="00710A00">
        <w:t>,</w:t>
      </w:r>
      <w:r>
        <w:t xml:space="preserve"> continuous MDT is already supported under the current MDT framework. </w:t>
      </w:r>
      <w:r w:rsidR="008E40BC">
        <w:t>A</w:t>
      </w:r>
      <w:r>
        <w:t xml:space="preserve"> question that remains</w:t>
      </w:r>
      <w:r w:rsidR="008E40BC">
        <w:t xml:space="preserve"> is whether the current solutions suffice or whether </w:t>
      </w:r>
      <w:r w:rsidR="000A665B">
        <w:t>additional</w:t>
      </w:r>
      <w:r w:rsidR="00755B85">
        <w:t xml:space="preserve"> enhancements are needed.</w:t>
      </w:r>
      <w:r w:rsidR="00170734">
        <w:t xml:space="preserve"> Enhancing the current framework </w:t>
      </w:r>
      <w:r w:rsidR="001B6CAF">
        <w:t xml:space="preserve">implies that only a small number of Rel.18 UEs, implementing the </w:t>
      </w:r>
      <w:r w:rsidR="00DA3CF4">
        <w:t>new</w:t>
      </w:r>
      <w:r w:rsidR="001B6CAF">
        <w:t xml:space="preserve"> feature, may support the data collection. </w:t>
      </w:r>
      <w:r w:rsidR="00936957">
        <w:t>An introduced</w:t>
      </w:r>
      <w:r w:rsidR="00D03F01">
        <w:t xml:space="preserve"> functionality </w:t>
      </w:r>
      <w:r w:rsidR="00936957">
        <w:t>is</w:t>
      </w:r>
      <w:r w:rsidR="00D03F01">
        <w:t xml:space="preserve"> </w:t>
      </w:r>
      <w:r w:rsidR="00895C9E">
        <w:t xml:space="preserve">successful </w:t>
      </w:r>
      <w:r w:rsidR="00936957">
        <w:t xml:space="preserve">if it is </w:t>
      </w:r>
      <w:r w:rsidR="00D03F01">
        <w:t>sup</w:t>
      </w:r>
      <w:r w:rsidR="00895C9E">
        <w:t xml:space="preserve">ported by a large number of UEs. </w:t>
      </w:r>
      <w:r w:rsidR="00991204">
        <w:t>Especially for AI/ML purposes, training an AI/ML model requires data from a large number of UEs</w:t>
      </w:r>
      <w:r w:rsidR="00FC2756">
        <w:t xml:space="preserve"> </w:t>
      </w:r>
      <w:r w:rsidR="001B0F6B">
        <w:t>to avoid biases into the model training</w:t>
      </w:r>
      <w:r w:rsidR="00991204">
        <w:t>.</w:t>
      </w:r>
      <w:r w:rsidR="00D21394">
        <w:t xml:space="preserve"> </w:t>
      </w:r>
      <w:r w:rsidR="00AA72E2">
        <w:t xml:space="preserve">Data collection provided by Rel-18 UEs only would result in data collected from a limited number of UEs and hence result in a significant downside when it comes to fulfilling the diversity requirement for creation of a good training </w:t>
      </w:r>
      <w:r w:rsidR="00AA72E2">
        <w:lastRenderedPageBreak/>
        <w:t xml:space="preserve">dataset, without providing any </w:t>
      </w:r>
      <w:r w:rsidR="001B0F6B">
        <w:t>clear</w:t>
      </w:r>
      <w:r w:rsidR="00AA72E2">
        <w:t xml:space="preserve"> benefit</w:t>
      </w:r>
      <w:r w:rsidR="001B0F6B">
        <w:t xml:space="preserve"> over existing methods</w:t>
      </w:r>
      <w:r w:rsidR="00AA72E2">
        <w:t xml:space="preserve">.  </w:t>
      </w:r>
      <w:r w:rsidR="0099013A">
        <w:t>A good training data set shall contain data characterizing as broadly as possible the optimization problem. As an example, having a large amount of UE measurements over the same area or with very similar values (e.g., RSRP or location) is not very useful and is also costly in terms of signal</w:t>
      </w:r>
      <w:r w:rsidR="003656E5">
        <w:t>l</w:t>
      </w:r>
      <w:r w:rsidR="0099013A">
        <w:t xml:space="preserve">ing load and required storage for the collected information. Diversity depends also on the ML Model and may depend on an area (e.g., which percentage of an area should be covered by the data collection), time (e.g., how to evenly collect data per time unit), sources (e.g., data should represent as broadly as possible a UE distribution and not be collected from the same UE). </w:t>
      </w:r>
    </w:p>
    <w:p w14:paraId="4F0A7767" w14:textId="48EA472A" w:rsidR="00AA72E2" w:rsidRDefault="00AA72E2" w:rsidP="00AA72E2">
      <w:pPr>
        <w:rPr>
          <w:b/>
          <w:bCs/>
        </w:rPr>
      </w:pPr>
      <w:r w:rsidRPr="007A0737">
        <w:rPr>
          <w:b/>
          <w:bCs/>
        </w:rPr>
        <w:t>Observation</w:t>
      </w:r>
      <w:r w:rsidR="001A34D4">
        <w:rPr>
          <w:b/>
          <w:bCs/>
        </w:rPr>
        <w:t xml:space="preserve"> 6</w:t>
      </w:r>
      <w:r w:rsidRPr="007A0737">
        <w:rPr>
          <w:b/>
          <w:bCs/>
        </w:rPr>
        <w:t>:</w:t>
      </w:r>
      <w:r>
        <w:rPr>
          <w:b/>
          <w:bCs/>
        </w:rPr>
        <w:t xml:space="preserve"> Any new Rel-18 UE requirement for data collection would negatively impact training dataset</w:t>
      </w:r>
      <w:r w:rsidDel="006E1021">
        <w:rPr>
          <w:b/>
          <w:bCs/>
        </w:rPr>
        <w:t xml:space="preserve"> </w:t>
      </w:r>
      <w:r>
        <w:rPr>
          <w:b/>
          <w:bCs/>
        </w:rPr>
        <w:t>diversity.</w:t>
      </w:r>
    </w:p>
    <w:p w14:paraId="3F650AD9" w14:textId="77777777" w:rsidR="00AA72E2" w:rsidRDefault="00AA72E2" w:rsidP="00AA72E2">
      <w:pPr>
        <w:rPr>
          <w:lang w:val="en-US"/>
        </w:rPr>
      </w:pPr>
      <w:r>
        <w:rPr>
          <w:lang w:val="en-US"/>
        </w:rPr>
        <w:t>For the above reasons, we think that continuous MDT enhancements should not be considered in Rel.18.</w:t>
      </w:r>
    </w:p>
    <w:p w14:paraId="0C046FE2" w14:textId="25BE2CAD" w:rsidR="00F836CE" w:rsidRPr="001D0275" w:rsidRDefault="00CD1243" w:rsidP="0060284E">
      <w:pPr>
        <w:rPr>
          <w:b/>
          <w:bCs/>
          <w:lang w:val="en-US"/>
        </w:rPr>
      </w:pPr>
      <w:r>
        <w:rPr>
          <w:b/>
          <w:bCs/>
          <w:lang w:val="en-US"/>
        </w:rPr>
        <w:t>Proposal</w:t>
      </w:r>
      <w:r w:rsidR="0001237C">
        <w:rPr>
          <w:b/>
          <w:bCs/>
          <w:lang w:val="en-US"/>
        </w:rPr>
        <w:t xml:space="preserve"> 2</w:t>
      </w:r>
      <w:r>
        <w:rPr>
          <w:b/>
          <w:bCs/>
          <w:lang w:val="en-US"/>
        </w:rPr>
        <w:t xml:space="preserve">: Existing </w:t>
      </w:r>
      <w:r w:rsidR="00D21394" w:rsidRPr="0060284E">
        <w:rPr>
          <w:b/>
          <w:bCs/>
          <w:lang w:val="en-US"/>
        </w:rPr>
        <w:t>MDT mechanism</w:t>
      </w:r>
      <w:r w:rsidR="00C20FCE">
        <w:rPr>
          <w:b/>
          <w:bCs/>
          <w:lang w:val="en-US"/>
        </w:rPr>
        <w:t xml:space="preserve"> </w:t>
      </w:r>
      <w:r w:rsidR="00D21394" w:rsidRPr="0060284E">
        <w:rPr>
          <w:b/>
          <w:bCs/>
          <w:lang w:val="en-US"/>
        </w:rPr>
        <w:t>without enhancement</w:t>
      </w:r>
      <w:r w:rsidR="00D12297">
        <w:rPr>
          <w:b/>
          <w:bCs/>
          <w:lang w:val="en-US"/>
        </w:rPr>
        <w:t>s</w:t>
      </w:r>
      <w:r w:rsidR="00DB3552">
        <w:rPr>
          <w:b/>
          <w:bCs/>
          <w:lang w:val="en-US"/>
        </w:rPr>
        <w:t xml:space="preserve"> is sufficient for continuous MDT data collection for the identified Rel.18 use cases</w:t>
      </w:r>
      <w:r w:rsidR="00D21394" w:rsidRPr="0060284E">
        <w:rPr>
          <w:b/>
          <w:bCs/>
          <w:lang w:val="en-US"/>
        </w:rPr>
        <w:t>.</w:t>
      </w:r>
    </w:p>
    <w:p w14:paraId="0D110258" w14:textId="5998BB24" w:rsidR="00CD4C7B" w:rsidRPr="006E13D1" w:rsidRDefault="009F1851" w:rsidP="00CD4C7B">
      <w:pPr>
        <w:pStyle w:val="Heading1"/>
      </w:pPr>
      <w:r>
        <w:t>5</w:t>
      </w:r>
      <w:r w:rsidR="00CD4C7B" w:rsidRPr="006E13D1">
        <w:tab/>
      </w:r>
      <w:r w:rsidR="00972FD7">
        <w:t>Conclusion</w:t>
      </w:r>
    </w:p>
    <w:p w14:paraId="5BD19E30" w14:textId="102B8113" w:rsidR="001D0275" w:rsidRDefault="001D0275" w:rsidP="00CD4C7B">
      <w:r>
        <w:t>In this contribution we made the following observations and proposals:</w:t>
      </w:r>
    </w:p>
    <w:p w14:paraId="2723DB2D" w14:textId="77777777" w:rsidR="001D0275" w:rsidRPr="0060284E" w:rsidRDefault="001D0275" w:rsidP="001D0275">
      <w:pPr>
        <w:pStyle w:val="00BodyText"/>
        <w:spacing w:after="0"/>
        <w:rPr>
          <w:rFonts w:ascii="Times New Roman" w:hAnsi="Times New Roman"/>
          <w:b/>
          <w:bCs/>
          <w:sz w:val="20"/>
          <w:lang w:val="en-GB"/>
        </w:rPr>
      </w:pPr>
      <w:r w:rsidRPr="0060284E">
        <w:rPr>
          <w:rFonts w:ascii="Times New Roman" w:hAnsi="Times New Roman"/>
          <w:b/>
          <w:bCs/>
          <w:sz w:val="20"/>
          <w:lang w:val="en-GB"/>
        </w:rPr>
        <w:t>Proposal</w:t>
      </w:r>
      <w:r>
        <w:rPr>
          <w:rFonts w:ascii="Times New Roman" w:hAnsi="Times New Roman"/>
          <w:b/>
          <w:bCs/>
          <w:sz w:val="20"/>
          <w:lang w:val="en-GB"/>
        </w:rPr>
        <w:t xml:space="preserve"> 1</w:t>
      </w:r>
      <w:r w:rsidRPr="0060284E">
        <w:rPr>
          <w:rFonts w:ascii="Times New Roman" w:hAnsi="Times New Roman"/>
          <w:b/>
          <w:bCs/>
          <w:sz w:val="20"/>
          <w:lang w:val="en-GB"/>
        </w:rPr>
        <w:t xml:space="preserve">: Both signalling-based and management-based MDT </w:t>
      </w:r>
      <w:r>
        <w:rPr>
          <w:rFonts w:ascii="Times New Roman" w:hAnsi="Times New Roman"/>
          <w:b/>
          <w:bCs/>
          <w:sz w:val="20"/>
          <w:lang w:val="en-GB"/>
        </w:rPr>
        <w:t>activation</w:t>
      </w:r>
      <w:r w:rsidRPr="0060284E">
        <w:rPr>
          <w:rFonts w:ascii="Times New Roman" w:hAnsi="Times New Roman"/>
          <w:b/>
          <w:bCs/>
          <w:sz w:val="20"/>
          <w:lang w:val="en-GB"/>
        </w:rPr>
        <w:t xml:space="preserve"> are in scope for data collection from a UE. Which </w:t>
      </w:r>
      <w:r>
        <w:rPr>
          <w:rFonts w:ascii="Times New Roman" w:hAnsi="Times New Roman"/>
          <w:b/>
          <w:bCs/>
          <w:sz w:val="20"/>
          <w:lang w:val="en-GB"/>
        </w:rPr>
        <w:t xml:space="preserve">activation mechanism </w:t>
      </w:r>
      <w:r w:rsidRPr="0060284E">
        <w:rPr>
          <w:rFonts w:ascii="Times New Roman" w:hAnsi="Times New Roman"/>
          <w:b/>
          <w:bCs/>
          <w:sz w:val="20"/>
          <w:lang w:val="en-GB"/>
        </w:rPr>
        <w:t xml:space="preserve">to </w:t>
      </w:r>
      <w:r>
        <w:rPr>
          <w:rFonts w:ascii="Times New Roman" w:hAnsi="Times New Roman"/>
          <w:b/>
          <w:bCs/>
          <w:sz w:val="20"/>
          <w:lang w:val="en-GB"/>
        </w:rPr>
        <w:t xml:space="preserve">be </w:t>
      </w:r>
      <w:r w:rsidRPr="0060284E">
        <w:rPr>
          <w:rFonts w:ascii="Times New Roman" w:hAnsi="Times New Roman"/>
          <w:b/>
          <w:bCs/>
          <w:sz w:val="20"/>
          <w:lang w:val="en-GB"/>
        </w:rPr>
        <w:t>use</w:t>
      </w:r>
      <w:r>
        <w:rPr>
          <w:rFonts w:ascii="Times New Roman" w:hAnsi="Times New Roman"/>
          <w:b/>
          <w:bCs/>
          <w:sz w:val="20"/>
          <w:lang w:val="en-GB"/>
        </w:rPr>
        <w:t>d is</w:t>
      </w:r>
      <w:r w:rsidRPr="0060284E">
        <w:rPr>
          <w:rFonts w:ascii="Times New Roman" w:hAnsi="Times New Roman"/>
          <w:b/>
          <w:bCs/>
          <w:sz w:val="20"/>
          <w:lang w:val="en-GB"/>
        </w:rPr>
        <w:t xml:space="preserve"> evaluated on a case-by-case basis.</w:t>
      </w:r>
    </w:p>
    <w:p w14:paraId="0B71EDBF" w14:textId="77777777" w:rsidR="001D0275" w:rsidRDefault="001D0275" w:rsidP="001D0275">
      <w:pPr>
        <w:rPr>
          <w:b/>
          <w:bCs/>
        </w:rPr>
      </w:pPr>
    </w:p>
    <w:p w14:paraId="711DAF12" w14:textId="1AD228BF" w:rsidR="001D0275" w:rsidRPr="006A5520" w:rsidRDefault="001D0275" w:rsidP="001D0275">
      <w:pPr>
        <w:rPr>
          <w:b/>
          <w:bCs/>
        </w:rPr>
      </w:pPr>
      <w:r w:rsidRPr="00425166">
        <w:rPr>
          <w:b/>
          <w:bCs/>
        </w:rPr>
        <w:t>Observation</w:t>
      </w:r>
      <w:r>
        <w:rPr>
          <w:b/>
          <w:bCs/>
        </w:rPr>
        <w:t xml:space="preserve"> 1</w:t>
      </w:r>
      <w:r w:rsidRPr="00425166">
        <w:rPr>
          <w:b/>
          <w:bCs/>
        </w:rPr>
        <w:t>: Signal</w:t>
      </w:r>
      <w:r>
        <w:rPr>
          <w:b/>
          <w:bCs/>
        </w:rPr>
        <w:t>l</w:t>
      </w:r>
      <w:r w:rsidRPr="00425166">
        <w:rPr>
          <w:b/>
          <w:bCs/>
        </w:rPr>
        <w:t xml:space="preserve">ing-based MDT allows </w:t>
      </w:r>
      <w:r>
        <w:rPr>
          <w:b/>
          <w:bCs/>
        </w:rPr>
        <w:t xml:space="preserve">the </w:t>
      </w:r>
      <w:r w:rsidRPr="00425166">
        <w:rPr>
          <w:b/>
          <w:bCs/>
        </w:rPr>
        <w:t xml:space="preserve">operator to monitor a specific UE </w:t>
      </w:r>
      <w:r>
        <w:rPr>
          <w:b/>
          <w:bCs/>
        </w:rPr>
        <w:t xml:space="preserve">continuously </w:t>
      </w:r>
      <w:r w:rsidRPr="00425166">
        <w:rPr>
          <w:b/>
          <w:bCs/>
        </w:rPr>
        <w:t xml:space="preserve">across RRC states in order to determine performance degradation and to improve performance.   </w:t>
      </w:r>
    </w:p>
    <w:p w14:paraId="45032A37" w14:textId="77777777" w:rsidR="00A94FCA" w:rsidRPr="0060284E" w:rsidRDefault="00A94FCA" w:rsidP="00A94FCA">
      <w:pPr>
        <w:rPr>
          <w:b/>
          <w:bCs/>
          <w:lang w:val="en-US"/>
        </w:rPr>
      </w:pPr>
      <w:r w:rsidRPr="0060284E">
        <w:rPr>
          <w:b/>
          <w:bCs/>
        </w:rPr>
        <w:t xml:space="preserve">Observation 2: Signalling-based </w:t>
      </w:r>
      <w:r>
        <w:rPr>
          <w:b/>
          <w:bCs/>
        </w:rPr>
        <w:t xml:space="preserve">MDT </w:t>
      </w:r>
      <w:r w:rsidRPr="0060284E">
        <w:rPr>
          <w:b/>
          <w:bCs/>
        </w:rPr>
        <w:t>configuration is received at the serving node as part of the initial access procedure and is already available at the serving node before the UE enters connected mode</w:t>
      </w:r>
      <w:r>
        <w:rPr>
          <w:b/>
          <w:bCs/>
        </w:rPr>
        <w:t>.</w:t>
      </w:r>
    </w:p>
    <w:p w14:paraId="6EAC5FBC" w14:textId="77777777" w:rsidR="00A94FCA" w:rsidRDefault="00A94FCA" w:rsidP="00A94FCA">
      <w:pPr>
        <w:rPr>
          <w:b/>
          <w:bCs/>
          <w:lang w:val="en-US"/>
        </w:rPr>
      </w:pPr>
      <w:r w:rsidRPr="001A7282">
        <w:rPr>
          <w:b/>
          <w:bCs/>
          <w:lang w:val="en-US"/>
        </w:rPr>
        <w:t>Observation</w:t>
      </w:r>
      <w:r>
        <w:rPr>
          <w:b/>
          <w:bCs/>
          <w:lang w:val="en-US"/>
        </w:rPr>
        <w:t xml:space="preserve"> 3</w:t>
      </w:r>
      <w:r w:rsidRPr="001A7282">
        <w:rPr>
          <w:b/>
          <w:bCs/>
          <w:lang w:val="en-US"/>
        </w:rPr>
        <w:t xml:space="preserve">: </w:t>
      </w:r>
      <w:r>
        <w:rPr>
          <w:b/>
          <w:bCs/>
          <w:lang w:val="en-US"/>
        </w:rPr>
        <w:t>For management-based MDT, i</w:t>
      </w:r>
      <w:r w:rsidRPr="001A7282">
        <w:rPr>
          <w:b/>
          <w:bCs/>
          <w:lang w:val="en-US"/>
        </w:rPr>
        <w:t>f a UE is transitioning among RRC connected and RRC idle/inactive states within the same NG-RAN node</w:t>
      </w:r>
      <w:r>
        <w:rPr>
          <w:b/>
          <w:bCs/>
          <w:lang w:val="en-US"/>
        </w:rPr>
        <w:t xml:space="preserve"> or in inter-gNB scenarios</w:t>
      </w:r>
      <w:r w:rsidRPr="00A60010">
        <w:rPr>
          <w:b/>
          <w:bCs/>
          <w:lang w:val="en-US"/>
        </w:rPr>
        <w:t>, the TCE can constitute continuous measurement series based on the availability of permanent UE ID.</w:t>
      </w:r>
    </w:p>
    <w:p w14:paraId="1BFA2B90" w14:textId="77777777" w:rsidR="00A94FCA" w:rsidRPr="0060284E" w:rsidRDefault="00A94FCA" w:rsidP="00A94FCA">
      <w:pPr>
        <w:rPr>
          <w:b/>
          <w:bCs/>
          <w:lang w:val="en-US"/>
        </w:rPr>
      </w:pPr>
      <w:r w:rsidRPr="0060284E">
        <w:rPr>
          <w:b/>
          <w:bCs/>
          <w:lang w:val="en-US"/>
        </w:rPr>
        <w:t>Observation</w:t>
      </w:r>
      <w:r>
        <w:rPr>
          <w:b/>
          <w:bCs/>
          <w:lang w:val="en-US"/>
        </w:rPr>
        <w:t xml:space="preserve"> 4</w:t>
      </w:r>
      <w:r w:rsidRPr="0060284E">
        <w:rPr>
          <w:b/>
          <w:bCs/>
          <w:lang w:val="en-US"/>
        </w:rPr>
        <w:t>: Continuous MDT for radio measurements (RSRP/RSRQ/SINR) does not seem to have clear benefits for the Rel.18 use cases which are connected mode use cases.</w:t>
      </w:r>
    </w:p>
    <w:p w14:paraId="4D6D2CDF" w14:textId="77777777" w:rsidR="00A94FCA" w:rsidRDefault="00A94FCA" w:rsidP="00A94FCA">
      <w:pPr>
        <w:rPr>
          <w:b/>
          <w:bCs/>
          <w:lang w:val="en-US"/>
        </w:rPr>
      </w:pPr>
      <w:r w:rsidRPr="005E25BA">
        <w:rPr>
          <w:b/>
          <w:bCs/>
          <w:lang w:val="en-US"/>
        </w:rPr>
        <w:t>Observation</w:t>
      </w:r>
      <w:r>
        <w:rPr>
          <w:b/>
          <w:bCs/>
          <w:lang w:val="en-US"/>
        </w:rPr>
        <w:t xml:space="preserve"> 5</w:t>
      </w:r>
      <w:r w:rsidRPr="005E25BA">
        <w:rPr>
          <w:b/>
          <w:bCs/>
          <w:lang w:val="en-US"/>
        </w:rPr>
        <w:t xml:space="preserve">: </w:t>
      </w:r>
      <w:r>
        <w:rPr>
          <w:b/>
          <w:bCs/>
          <w:lang w:val="en-US"/>
        </w:rPr>
        <w:t>C</w:t>
      </w:r>
      <w:r w:rsidRPr="005E25BA">
        <w:rPr>
          <w:b/>
          <w:bCs/>
          <w:lang w:val="en-US"/>
        </w:rPr>
        <w:t xml:space="preserve">ontinuous MDT </w:t>
      </w:r>
      <w:r>
        <w:rPr>
          <w:b/>
          <w:bCs/>
          <w:lang w:val="en-US"/>
        </w:rPr>
        <w:t xml:space="preserve">for detailed location information does not have clear benefits for the solutions related to the </w:t>
      </w:r>
      <w:r w:rsidRPr="005E25BA">
        <w:rPr>
          <w:b/>
          <w:bCs/>
          <w:lang w:val="en-US"/>
        </w:rPr>
        <w:t xml:space="preserve">Rel.18 </w:t>
      </w:r>
      <w:r>
        <w:rPr>
          <w:b/>
          <w:bCs/>
          <w:lang w:val="en-US"/>
        </w:rPr>
        <w:t xml:space="preserve">NG-RAN AI/ML </w:t>
      </w:r>
      <w:r w:rsidRPr="005E25BA">
        <w:rPr>
          <w:b/>
          <w:bCs/>
          <w:lang w:val="en-US"/>
        </w:rPr>
        <w:t>use cases</w:t>
      </w:r>
      <w:r>
        <w:rPr>
          <w:b/>
          <w:bCs/>
          <w:lang w:val="en-US"/>
        </w:rPr>
        <w:t xml:space="preserve"> e.g., for cell-based UE Trajectory prediction.</w:t>
      </w:r>
      <w:r w:rsidRPr="005E25BA">
        <w:rPr>
          <w:b/>
          <w:bCs/>
          <w:lang w:val="en-US"/>
        </w:rPr>
        <w:t xml:space="preserve">  </w:t>
      </w:r>
    </w:p>
    <w:p w14:paraId="10B52377" w14:textId="77777777" w:rsidR="00A94FCA" w:rsidRDefault="00A94FCA" w:rsidP="00A94FCA">
      <w:pPr>
        <w:rPr>
          <w:b/>
          <w:bCs/>
        </w:rPr>
      </w:pPr>
      <w:r w:rsidRPr="007A0737">
        <w:rPr>
          <w:b/>
          <w:bCs/>
        </w:rPr>
        <w:t>Observation</w:t>
      </w:r>
      <w:r>
        <w:rPr>
          <w:b/>
          <w:bCs/>
        </w:rPr>
        <w:t xml:space="preserve"> 6</w:t>
      </w:r>
      <w:r w:rsidRPr="007A0737">
        <w:rPr>
          <w:b/>
          <w:bCs/>
        </w:rPr>
        <w:t>:</w:t>
      </w:r>
      <w:r>
        <w:rPr>
          <w:b/>
          <w:bCs/>
        </w:rPr>
        <w:t xml:space="preserve"> Any new Rel-18 UE requirement for data collection would negatively impact training dataset</w:t>
      </w:r>
      <w:r w:rsidDel="006E1021">
        <w:rPr>
          <w:b/>
          <w:bCs/>
        </w:rPr>
        <w:t xml:space="preserve"> </w:t>
      </w:r>
      <w:r>
        <w:rPr>
          <w:b/>
          <w:bCs/>
        </w:rPr>
        <w:t>diversity.</w:t>
      </w:r>
    </w:p>
    <w:p w14:paraId="2CD94B20" w14:textId="15B9F687" w:rsidR="001D0275" w:rsidRPr="00A94FCA" w:rsidRDefault="00142392" w:rsidP="00CD4C7B">
      <w:pPr>
        <w:rPr>
          <w:lang w:val="en-US"/>
        </w:rPr>
      </w:pPr>
      <w:r>
        <w:rPr>
          <w:b/>
          <w:bCs/>
          <w:lang w:val="en-US"/>
        </w:rPr>
        <w:t xml:space="preserve">Proposal 2: Existing </w:t>
      </w:r>
      <w:r w:rsidRPr="0060284E">
        <w:rPr>
          <w:b/>
          <w:bCs/>
          <w:lang w:val="en-US"/>
        </w:rPr>
        <w:t>MDT mechanism</w:t>
      </w:r>
      <w:r>
        <w:rPr>
          <w:b/>
          <w:bCs/>
          <w:lang w:val="en-US"/>
        </w:rPr>
        <w:t xml:space="preserve"> </w:t>
      </w:r>
      <w:r w:rsidRPr="0060284E">
        <w:rPr>
          <w:b/>
          <w:bCs/>
          <w:lang w:val="en-US"/>
        </w:rPr>
        <w:t>without enhancement</w:t>
      </w:r>
      <w:r>
        <w:rPr>
          <w:b/>
          <w:bCs/>
          <w:lang w:val="en-US"/>
        </w:rPr>
        <w:t>s is sufficient for continuous MDT data collection for the identified Rel.18 use cases</w:t>
      </w:r>
      <w:r w:rsidRPr="0060284E">
        <w:rPr>
          <w:b/>
          <w:bCs/>
          <w:lang w:val="en-US"/>
        </w:rPr>
        <w:t>.</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A8CD0" w14:textId="77777777" w:rsidR="006A1802" w:rsidRDefault="006A1802">
      <w:r>
        <w:separator/>
      </w:r>
    </w:p>
  </w:endnote>
  <w:endnote w:type="continuationSeparator" w:id="0">
    <w:p w14:paraId="594D2EA9" w14:textId="77777777" w:rsidR="006A1802" w:rsidRDefault="006A1802">
      <w:r>
        <w:continuationSeparator/>
      </w:r>
    </w:p>
  </w:endnote>
  <w:endnote w:type="continuationNotice" w:id="1">
    <w:p w14:paraId="0E692867" w14:textId="77777777" w:rsidR="006A1802" w:rsidRDefault="006A1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9CEAC41" w14:paraId="54527EE8" w14:textId="77777777" w:rsidTr="0060284E">
      <w:trPr>
        <w:trHeight w:val="300"/>
      </w:trPr>
      <w:tc>
        <w:tcPr>
          <w:tcW w:w="3210" w:type="dxa"/>
        </w:tcPr>
        <w:p w14:paraId="56B95541" w14:textId="09FF9F17" w:rsidR="59CEAC41" w:rsidRDefault="59CEAC41" w:rsidP="0060284E">
          <w:pPr>
            <w:ind w:left="-115"/>
          </w:pPr>
        </w:p>
      </w:tc>
      <w:tc>
        <w:tcPr>
          <w:tcW w:w="3210" w:type="dxa"/>
        </w:tcPr>
        <w:p w14:paraId="10BEDFF4" w14:textId="180366D1" w:rsidR="59CEAC41" w:rsidRDefault="59CEAC41" w:rsidP="0060284E">
          <w:pPr>
            <w:jc w:val="center"/>
          </w:pPr>
        </w:p>
      </w:tc>
      <w:tc>
        <w:tcPr>
          <w:tcW w:w="3210" w:type="dxa"/>
        </w:tcPr>
        <w:p w14:paraId="65FB3BF8" w14:textId="727F8CF7" w:rsidR="59CEAC41" w:rsidRDefault="59CEAC41" w:rsidP="0060284E">
          <w:pPr>
            <w:ind w:right="-115"/>
            <w:jc w:val="right"/>
          </w:pPr>
        </w:p>
      </w:tc>
    </w:tr>
  </w:tbl>
  <w:p w14:paraId="4F7498C3" w14:textId="494DDAB4" w:rsidR="003A7100" w:rsidRDefault="003A7100" w:rsidP="007460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2DE58" w14:textId="77777777" w:rsidR="006A1802" w:rsidRDefault="006A1802">
      <w:r>
        <w:separator/>
      </w:r>
    </w:p>
  </w:footnote>
  <w:footnote w:type="continuationSeparator" w:id="0">
    <w:p w14:paraId="78FE5839" w14:textId="77777777" w:rsidR="006A1802" w:rsidRDefault="006A1802">
      <w:r>
        <w:continuationSeparator/>
      </w:r>
    </w:p>
  </w:footnote>
  <w:footnote w:type="continuationNotice" w:id="1">
    <w:p w14:paraId="12A89C4A" w14:textId="77777777" w:rsidR="006A1802" w:rsidRDefault="006A18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9CEAC41" w14:paraId="6F9D8AD6" w14:textId="77777777" w:rsidTr="0060284E">
      <w:trPr>
        <w:trHeight w:val="300"/>
      </w:trPr>
      <w:tc>
        <w:tcPr>
          <w:tcW w:w="3210" w:type="dxa"/>
        </w:tcPr>
        <w:p w14:paraId="2F00315C" w14:textId="1B3345B8" w:rsidR="59CEAC41" w:rsidRDefault="59CEAC41" w:rsidP="0060284E">
          <w:pPr>
            <w:ind w:left="-115"/>
          </w:pPr>
        </w:p>
      </w:tc>
      <w:tc>
        <w:tcPr>
          <w:tcW w:w="3210" w:type="dxa"/>
        </w:tcPr>
        <w:p w14:paraId="7E649876" w14:textId="40A976C1" w:rsidR="59CEAC41" w:rsidRDefault="59CEAC41" w:rsidP="0060284E">
          <w:pPr>
            <w:jc w:val="center"/>
          </w:pPr>
        </w:p>
      </w:tc>
      <w:tc>
        <w:tcPr>
          <w:tcW w:w="3210" w:type="dxa"/>
        </w:tcPr>
        <w:p w14:paraId="2D6E7F14" w14:textId="028F7098" w:rsidR="59CEAC41" w:rsidRDefault="59CEAC41" w:rsidP="0060284E">
          <w:pPr>
            <w:ind w:right="-115"/>
            <w:jc w:val="right"/>
          </w:pPr>
        </w:p>
      </w:tc>
    </w:tr>
  </w:tbl>
  <w:p w14:paraId="69D42A50" w14:textId="052F5360" w:rsidR="003A7100" w:rsidRDefault="003A71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91F1E8F"/>
    <w:multiLevelType w:val="hybridMultilevel"/>
    <w:tmpl w:val="47B0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187D11"/>
    <w:multiLevelType w:val="hybridMultilevel"/>
    <w:tmpl w:val="B100CEDE"/>
    <w:lvl w:ilvl="0" w:tplc="EFFE9E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6" w15:restartNumberingAfterBreak="0">
    <w:nsid w:val="60ED2BCE"/>
    <w:multiLevelType w:val="hybridMultilevel"/>
    <w:tmpl w:val="618C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15285A"/>
    <w:multiLevelType w:val="hybridMultilevel"/>
    <w:tmpl w:val="23EE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B93B6C"/>
    <w:multiLevelType w:val="hybridMultilevel"/>
    <w:tmpl w:val="D4ECF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2"/>
  </w:num>
  <w:num w:numId="5" w16cid:durableId="374886751">
    <w:abstractNumId w:val="5"/>
  </w:num>
  <w:num w:numId="6" w16cid:durableId="835807607">
    <w:abstractNumId w:val="3"/>
  </w:num>
  <w:num w:numId="7" w16cid:durableId="1738089587">
    <w:abstractNumId w:val="8"/>
  </w:num>
  <w:num w:numId="8" w16cid:durableId="436029450">
    <w:abstractNumId w:val="7"/>
  </w:num>
  <w:num w:numId="9" w16cid:durableId="764573329">
    <w:abstractNumId w:val="4"/>
  </w:num>
  <w:num w:numId="10" w16cid:durableId="10795946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830"/>
    <w:rsid w:val="00006521"/>
    <w:rsid w:val="0001237C"/>
    <w:rsid w:val="00027BA1"/>
    <w:rsid w:val="00030DA5"/>
    <w:rsid w:val="00033174"/>
    <w:rsid w:val="00033397"/>
    <w:rsid w:val="000342C7"/>
    <w:rsid w:val="00040095"/>
    <w:rsid w:val="00047D2E"/>
    <w:rsid w:val="0005563E"/>
    <w:rsid w:val="00055C8A"/>
    <w:rsid w:val="00065B77"/>
    <w:rsid w:val="00074517"/>
    <w:rsid w:val="00080512"/>
    <w:rsid w:val="00083F0D"/>
    <w:rsid w:val="000A2C0E"/>
    <w:rsid w:val="000A665B"/>
    <w:rsid w:val="000B7BCF"/>
    <w:rsid w:val="000C0B98"/>
    <w:rsid w:val="000C3D2E"/>
    <w:rsid w:val="000C4C72"/>
    <w:rsid w:val="000C556D"/>
    <w:rsid w:val="000D376D"/>
    <w:rsid w:val="000D58AB"/>
    <w:rsid w:val="0010131A"/>
    <w:rsid w:val="001075B7"/>
    <w:rsid w:val="00125FA5"/>
    <w:rsid w:val="001370F2"/>
    <w:rsid w:val="00137A25"/>
    <w:rsid w:val="00142392"/>
    <w:rsid w:val="0015107F"/>
    <w:rsid w:val="00154150"/>
    <w:rsid w:val="001549DD"/>
    <w:rsid w:val="001550D6"/>
    <w:rsid w:val="00155F08"/>
    <w:rsid w:val="00160AB8"/>
    <w:rsid w:val="00170734"/>
    <w:rsid w:val="001756AE"/>
    <w:rsid w:val="00186690"/>
    <w:rsid w:val="00194CD0"/>
    <w:rsid w:val="001A34D4"/>
    <w:rsid w:val="001A7ECB"/>
    <w:rsid w:val="001B08B3"/>
    <w:rsid w:val="001B0F6B"/>
    <w:rsid w:val="001B22AA"/>
    <w:rsid w:val="001B6CAF"/>
    <w:rsid w:val="001C383D"/>
    <w:rsid w:val="001C4281"/>
    <w:rsid w:val="001C5DEC"/>
    <w:rsid w:val="001C5EB6"/>
    <w:rsid w:val="001D0275"/>
    <w:rsid w:val="001D0D3F"/>
    <w:rsid w:val="001E39D1"/>
    <w:rsid w:val="001F168B"/>
    <w:rsid w:val="001F4258"/>
    <w:rsid w:val="001F70B7"/>
    <w:rsid w:val="002248F7"/>
    <w:rsid w:val="00225F6D"/>
    <w:rsid w:val="0022606D"/>
    <w:rsid w:val="002305DD"/>
    <w:rsid w:val="00234B92"/>
    <w:rsid w:val="00237286"/>
    <w:rsid w:val="00242C2A"/>
    <w:rsid w:val="00243BC7"/>
    <w:rsid w:val="00255E05"/>
    <w:rsid w:val="002623FC"/>
    <w:rsid w:val="00267393"/>
    <w:rsid w:val="002747EC"/>
    <w:rsid w:val="00274968"/>
    <w:rsid w:val="00274CD3"/>
    <w:rsid w:val="002855BF"/>
    <w:rsid w:val="002953B2"/>
    <w:rsid w:val="0029650F"/>
    <w:rsid w:val="002A3019"/>
    <w:rsid w:val="002A3DC2"/>
    <w:rsid w:val="002A3F34"/>
    <w:rsid w:val="002A54C2"/>
    <w:rsid w:val="002D01C6"/>
    <w:rsid w:val="002D3C94"/>
    <w:rsid w:val="002D4D29"/>
    <w:rsid w:val="002D5D7E"/>
    <w:rsid w:val="002E1692"/>
    <w:rsid w:val="002F027A"/>
    <w:rsid w:val="002F0D22"/>
    <w:rsid w:val="002F1E57"/>
    <w:rsid w:val="00300E06"/>
    <w:rsid w:val="00307E88"/>
    <w:rsid w:val="003172DC"/>
    <w:rsid w:val="00326069"/>
    <w:rsid w:val="003454FC"/>
    <w:rsid w:val="0035462D"/>
    <w:rsid w:val="003579BF"/>
    <w:rsid w:val="00363177"/>
    <w:rsid w:val="003656E5"/>
    <w:rsid w:val="003702F7"/>
    <w:rsid w:val="00381B16"/>
    <w:rsid w:val="003A0F24"/>
    <w:rsid w:val="003A105C"/>
    <w:rsid w:val="003A5FF8"/>
    <w:rsid w:val="003A7100"/>
    <w:rsid w:val="003A7DC4"/>
    <w:rsid w:val="003B21A0"/>
    <w:rsid w:val="003B3FB3"/>
    <w:rsid w:val="003C4E37"/>
    <w:rsid w:val="003C637F"/>
    <w:rsid w:val="003D3196"/>
    <w:rsid w:val="003D4C66"/>
    <w:rsid w:val="003D62E3"/>
    <w:rsid w:val="003E1194"/>
    <w:rsid w:val="003E16BE"/>
    <w:rsid w:val="003E7223"/>
    <w:rsid w:val="003F68DE"/>
    <w:rsid w:val="00401855"/>
    <w:rsid w:val="00405FED"/>
    <w:rsid w:val="00410E14"/>
    <w:rsid w:val="004145DC"/>
    <w:rsid w:val="00425047"/>
    <w:rsid w:val="004449CB"/>
    <w:rsid w:val="00464695"/>
    <w:rsid w:val="004959F1"/>
    <w:rsid w:val="004A2EE7"/>
    <w:rsid w:val="004C27F9"/>
    <w:rsid w:val="004C5539"/>
    <w:rsid w:val="004D3578"/>
    <w:rsid w:val="004D380D"/>
    <w:rsid w:val="004D3F58"/>
    <w:rsid w:val="004D5E47"/>
    <w:rsid w:val="004E213A"/>
    <w:rsid w:val="004E21FC"/>
    <w:rsid w:val="00502EB4"/>
    <w:rsid w:val="00503171"/>
    <w:rsid w:val="0050795F"/>
    <w:rsid w:val="00514A1D"/>
    <w:rsid w:val="005153FE"/>
    <w:rsid w:val="005240A4"/>
    <w:rsid w:val="00531C12"/>
    <w:rsid w:val="00533DC3"/>
    <w:rsid w:val="00534DA0"/>
    <w:rsid w:val="00534E1D"/>
    <w:rsid w:val="00540B31"/>
    <w:rsid w:val="00543E6C"/>
    <w:rsid w:val="00544635"/>
    <w:rsid w:val="00557821"/>
    <w:rsid w:val="00565087"/>
    <w:rsid w:val="0056573F"/>
    <w:rsid w:val="00565BE9"/>
    <w:rsid w:val="00571CE2"/>
    <w:rsid w:val="0057331D"/>
    <w:rsid w:val="00597D5E"/>
    <w:rsid w:val="00597F6D"/>
    <w:rsid w:val="005A2395"/>
    <w:rsid w:val="005A27D5"/>
    <w:rsid w:val="005A4971"/>
    <w:rsid w:val="005B1232"/>
    <w:rsid w:val="005B2EEF"/>
    <w:rsid w:val="005C2DED"/>
    <w:rsid w:val="005C6E33"/>
    <w:rsid w:val="005D4274"/>
    <w:rsid w:val="005D58B4"/>
    <w:rsid w:val="005F31C4"/>
    <w:rsid w:val="0060284E"/>
    <w:rsid w:val="00605E3E"/>
    <w:rsid w:val="00606DA9"/>
    <w:rsid w:val="00611566"/>
    <w:rsid w:val="00611D47"/>
    <w:rsid w:val="00613225"/>
    <w:rsid w:val="00624590"/>
    <w:rsid w:val="00624ACB"/>
    <w:rsid w:val="00626684"/>
    <w:rsid w:val="00637942"/>
    <w:rsid w:val="0064123C"/>
    <w:rsid w:val="00645782"/>
    <w:rsid w:val="00650902"/>
    <w:rsid w:val="00656E1E"/>
    <w:rsid w:val="006604E4"/>
    <w:rsid w:val="0068101E"/>
    <w:rsid w:val="0068712A"/>
    <w:rsid w:val="006A1802"/>
    <w:rsid w:val="006A49E1"/>
    <w:rsid w:val="006B36A5"/>
    <w:rsid w:val="006C1124"/>
    <w:rsid w:val="006C54B5"/>
    <w:rsid w:val="006D1E24"/>
    <w:rsid w:val="006D51B6"/>
    <w:rsid w:val="006E4B37"/>
    <w:rsid w:val="006E6A02"/>
    <w:rsid w:val="00702BDF"/>
    <w:rsid w:val="00710A00"/>
    <w:rsid w:val="00724D30"/>
    <w:rsid w:val="007318F1"/>
    <w:rsid w:val="00733CD5"/>
    <w:rsid w:val="00734A5B"/>
    <w:rsid w:val="00736AAB"/>
    <w:rsid w:val="00741EC5"/>
    <w:rsid w:val="00743525"/>
    <w:rsid w:val="00744E76"/>
    <w:rsid w:val="00745436"/>
    <w:rsid w:val="00746021"/>
    <w:rsid w:val="007476DB"/>
    <w:rsid w:val="00747B28"/>
    <w:rsid w:val="0075565E"/>
    <w:rsid w:val="00755B85"/>
    <w:rsid w:val="007564BC"/>
    <w:rsid w:val="00757D40"/>
    <w:rsid w:val="00765A81"/>
    <w:rsid w:val="00766A6F"/>
    <w:rsid w:val="007731E0"/>
    <w:rsid w:val="00774846"/>
    <w:rsid w:val="00781F0F"/>
    <w:rsid w:val="00782170"/>
    <w:rsid w:val="0078727C"/>
    <w:rsid w:val="00787815"/>
    <w:rsid w:val="00797D4B"/>
    <w:rsid w:val="007B0158"/>
    <w:rsid w:val="007B7448"/>
    <w:rsid w:val="007C095F"/>
    <w:rsid w:val="007D5902"/>
    <w:rsid w:val="007F0E20"/>
    <w:rsid w:val="007F2676"/>
    <w:rsid w:val="007F557C"/>
    <w:rsid w:val="00802106"/>
    <w:rsid w:val="008028A4"/>
    <w:rsid w:val="00806520"/>
    <w:rsid w:val="00812245"/>
    <w:rsid w:val="00830106"/>
    <w:rsid w:val="008326D0"/>
    <w:rsid w:val="00840916"/>
    <w:rsid w:val="00845AE7"/>
    <w:rsid w:val="008519F1"/>
    <w:rsid w:val="00853EDD"/>
    <w:rsid w:val="008604EE"/>
    <w:rsid w:val="00860AE0"/>
    <w:rsid w:val="0087401D"/>
    <w:rsid w:val="008768CA"/>
    <w:rsid w:val="00880559"/>
    <w:rsid w:val="008820AB"/>
    <w:rsid w:val="0088365D"/>
    <w:rsid w:val="00893918"/>
    <w:rsid w:val="00895337"/>
    <w:rsid w:val="00895C9E"/>
    <w:rsid w:val="008A232A"/>
    <w:rsid w:val="008A724A"/>
    <w:rsid w:val="008C2835"/>
    <w:rsid w:val="008C490B"/>
    <w:rsid w:val="008D26B5"/>
    <w:rsid w:val="008E0AE8"/>
    <w:rsid w:val="008E40BC"/>
    <w:rsid w:val="008F2F6F"/>
    <w:rsid w:val="008F7D9C"/>
    <w:rsid w:val="0090271F"/>
    <w:rsid w:val="00903D8C"/>
    <w:rsid w:val="00925269"/>
    <w:rsid w:val="0093128A"/>
    <w:rsid w:val="00936957"/>
    <w:rsid w:val="00942EC2"/>
    <w:rsid w:val="00952140"/>
    <w:rsid w:val="00954BCB"/>
    <w:rsid w:val="00961B32"/>
    <w:rsid w:val="00971683"/>
    <w:rsid w:val="00972FD7"/>
    <w:rsid w:val="00974AEF"/>
    <w:rsid w:val="00974BB0"/>
    <w:rsid w:val="0099013A"/>
    <w:rsid w:val="00991204"/>
    <w:rsid w:val="00993404"/>
    <w:rsid w:val="009938EB"/>
    <w:rsid w:val="009A6E4F"/>
    <w:rsid w:val="009B6893"/>
    <w:rsid w:val="009C2289"/>
    <w:rsid w:val="009C4D5C"/>
    <w:rsid w:val="009C77D5"/>
    <w:rsid w:val="009D0A28"/>
    <w:rsid w:val="009D3BC7"/>
    <w:rsid w:val="009D3D13"/>
    <w:rsid w:val="009E4584"/>
    <w:rsid w:val="009E618D"/>
    <w:rsid w:val="009F1851"/>
    <w:rsid w:val="009F3B54"/>
    <w:rsid w:val="009F6608"/>
    <w:rsid w:val="009F7E6E"/>
    <w:rsid w:val="00A03A7B"/>
    <w:rsid w:val="00A10F02"/>
    <w:rsid w:val="00A1223B"/>
    <w:rsid w:val="00A128BD"/>
    <w:rsid w:val="00A138BD"/>
    <w:rsid w:val="00A21E2B"/>
    <w:rsid w:val="00A26240"/>
    <w:rsid w:val="00A53724"/>
    <w:rsid w:val="00A6007F"/>
    <w:rsid w:val="00A66EA0"/>
    <w:rsid w:val="00A6759E"/>
    <w:rsid w:val="00A814E6"/>
    <w:rsid w:val="00A82346"/>
    <w:rsid w:val="00A8361A"/>
    <w:rsid w:val="00A85325"/>
    <w:rsid w:val="00A875EF"/>
    <w:rsid w:val="00A94FCA"/>
    <w:rsid w:val="00A9671C"/>
    <w:rsid w:val="00AA6232"/>
    <w:rsid w:val="00AA72E2"/>
    <w:rsid w:val="00AB6AAB"/>
    <w:rsid w:val="00AB7C1A"/>
    <w:rsid w:val="00AD0338"/>
    <w:rsid w:val="00AD4BCF"/>
    <w:rsid w:val="00AD5963"/>
    <w:rsid w:val="00AD6374"/>
    <w:rsid w:val="00AF3629"/>
    <w:rsid w:val="00AF4A8E"/>
    <w:rsid w:val="00AF78D5"/>
    <w:rsid w:val="00B06A35"/>
    <w:rsid w:val="00B1063A"/>
    <w:rsid w:val="00B15449"/>
    <w:rsid w:val="00B1783A"/>
    <w:rsid w:val="00B21241"/>
    <w:rsid w:val="00B3473D"/>
    <w:rsid w:val="00B40C86"/>
    <w:rsid w:val="00B557BB"/>
    <w:rsid w:val="00B63663"/>
    <w:rsid w:val="00B71026"/>
    <w:rsid w:val="00B746AA"/>
    <w:rsid w:val="00B877FD"/>
    <w:rsid w:val="00B95BD7"/>
    <w:rsid w:val="00B9781E"/>
    <w:rsid w:val="00BA77A4"/>
    <w:rsid w:val="00BB7BE7"/>
    <w:rsid w:val="00BB7EF9"/>
    <w:rsid w:val="00BC3BFD"/>
    <w:rsid w:val="00BD7A59"/>
    <w:rsid w:val="00BF604A"/>
    <w:rsid w:val="00BF79F1"/>
    <w:rsid w:val="00C03035"/>
    <w:rsid w:val="00C0655C"/>
    <w:rsid w:val="00C122C4"/>
    <w:rsid w:val="00C20318"/>
    <w:rsid w:val="00C20FCE"/>
    <w:rsid w:val="00C231C1"/>
    <w:rsid w:val="00C24FCA"/>
    <w:rsid w:val="00C275BC"/>
    <w:rsid w:val="00C33079"/>
    <w:rsid w:val="00C33D7D"/>
    <w:rsid w:val="00C365F1"/>
    <w:rsid w:val="00C41060"/>
    <w:rsid w:val="00C43B31"/>
    <w:rsid w:val="00C50536"/>
    <w:rsid w:val="00C55EB7"/>
    <w:rsid w:val="00C56850"/>
    <w:rsid w:val="00C60ED1"/>
    <w:rsid w:val="00C634A2"/>
    <w:rsid w:val="00C84ED9"/>
    <w:rsid w:val="00C86BE0"/>
    <w:rsid w:val="00C956DB"/>
    <w:rsid w:val="00CA3D0C"/>
    <w:rsid w:val="00CB514A"/>
    <w:rsid w:val="00CB6651"/>
    <w:rsid w:val="00CB6887"/>
    <w:rsid w:val="00CC5F16"/>
    <w:rsid w:val="00CD1243"/>
    <w:rsid w:val="00CD4C7B"/>
    <w:rsid w:val="00D03F01"/>
    <w:rsid w:val="00D12297"/>
    <w:rsid w:val="00D12D8A"/>
    <w:rsid w:val="00D21394"/>
    <w:rsid w:val="00D22038"/>
    <w:rsid w:val="00D37FEC"/>
    <w:rsid w:val="00D446A5"/>
    <w:rsid w:val="00D45717"/>
    <w:rsid w:val="00D52AB0"/>
    <w:rsid w:val="00D738D6"/>
    <w:rsid w:val="00D73C68"/>
    <w:rsid w:val="00D80795"/>
    <w:rsid w:val="00D82E36"/>
    <w:rsid w:val="00D87E00"/>
    <w:rsid w:val="00D87F63"/>
    <w:rsid w:val="00D908B4"/>
    <w:rsid w:val="00D9134D"/>
    <w:rsid w:val="00D97CD9"/>
    <w:rsid w:val="00DA3CF4"/>
    <w:rsid w:val="00DA58E4"/>
    <w:rsid w:val="00DA63F8"/>
    <w:rsid w:val="00DA7A03"/>
    <w:rsid w:val="00DB1818"/>
    <w:rsid w:val="00DB3552"/>
    <w:rsid w:val="00DC309B"/>
    <w:rsid w:val="00DC4DA2"/>
    <w:rsid w:val="00DC5386"/>
    <w:rsid w:val="00DE1406"/>
    <w:rsid w:val="00DF7755"/>
    <w:rsid w:val="00E07838"/>
    <w:rsid w:val="00E3083A"/>
    <w:rsid w:val="00E340BC"/>
    <w:rsid w:val="00E43A6E"/>
    <w:rsid w:val="00E51F8B"/>
    <w:rsid w:val="00E62835"/>
    <w:rsid w:val="00E63E07"/>
    <w:rsid w:val="00E769DF"/>
    <w:rsid w:val="00E77645"/>
    <w:rsid w:val="00E852FF"/>
    <w:rsid w:val="00E90ABE"/>
    <w:rsid w:val="00E92114"/>
    <w:rsid w:val="00E971FE"/>
    <w:rsid w:val="00EA1D56"/>
    <w:rsid w:val="00EA22F8"/>
    <w:rsid w:val="00EA38AC"/>
    <w:rsid w:val="00EB2EA2"/>
    <w:rsid w:val="00EB62E2"/>
    <w:rsid w:val="00EC4A25"/>
    <w:rsid w:val="00ED096C"/>
    <w:rsid w:val="00EE0A1E"/>
    <w:rsid w:val="00EF3AA2"/>
    <w:rsid w:val="00F025A2"/>
    <w:rsid w:val="00F04F1A"/>
    <w:rsid w:val="00F077D3"/>
    <w:rsid w:val="00F14CED"/>
    <w:rsid w:val="00F17A03"/>
    <w:rsid w:val="00F2026E"/>
    <w:rsid w:val="00F2210A"/>
    <w:rsid w:val="00F37743"/>
    <w:rsid w:val="00F41982"/>
    <w:rsid w:val="00F54A3D"/>
    <w:rsid w:val="00F653B8"/>
    <w:rsid w:val="00F76F8F"/>
    <w:rsid w:val="00F801B8"/>
    <w:rsid w:val="00F836CE"/>
    <w:rsid w:val="00FA1266"/>
    <w:rsid w:val="00FB2BEA"/>
    <w:rsid w:val="00FC1192"/>
    <w:rsid w:val="00FC2756"/>
    <w:rsid w:val="00FC53BF"/>
    <w:rsid w:val="00FC6713"/>
    <w:rsid w:val="00FD609C"/>
    <w:rsid w:val="00FE4E73"/>
    <w:rsid w:val="00FF4BAA"/>
    <w:rsid w:val="00FF7BCD"/>
    <w:rsid w:val="19733F62"/>
    <w:rsid w:val="2DEC013F"/>
    <w:rsid w:val="3EADDC30"/>
    <w:rsid w:val="59CEAC41"/>
    <w:rsid w:val="60DA96D1"/>
    <w:rsid w:val="7B0965A8"/>
    <w:rsid w:val="7B4EB82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44C612C-F906-4A00-AE26-9EEF79C96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I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I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IN"/>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I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IN"/>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IN"/>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IN"/>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IN"/>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IN"/>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IN"/>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IN"/>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IN"/>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IN"/>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styleId="CommentReference">
    <w:name w:val="annotation reference"/>
    <w:rsid w:val="00B1783A"/>
    <w:rPr>
      <w:sz w:val="16"/>
      <w:szCs w:val="16"/>
    </w:rPr>
  </w:style>
  <w:style w:type="paragraph" w:styleId="CommentText">
    <w:name w:val="annotation text"/>
    <w:basedOn w:val="Normal"/>
    <w:link w:val="CommentTextChar"/>
    <w:rsid w:val="00B1783A"/>
  </w:style>
  <w:style w:type="character" w:customStyle="1" w:styleId="CommentTextChar">
    <w:name w:val="Comment Text Char"/>
    <w:link w:val="CommentText"/>
    <w:rsid w:val="00B1783A"/>
    <w:rPr>
      <w:lang w:val="en-GB"/>
    </w:rPr>
  </w:style>
  <w:style w:type="paragraph" w:styleId="CommentSubject">
    <w:name w:val="annotation subject"/>
    <w:basedOn w:val="CommentText"/>
    <w:next w:val="CommentText"/>
    <w:link w:val="CommentSubjectChar"/>
    <w:rsid w:val="00B1783A"/>
    <w:rPr>
      <w:b/>
      <w:bCs/>
    </w:rPr>
  </w:style>
  <w:style w:type="character" w:customStyle="1" w:styleId="CommentSubjectChar">
    <w:name w:val="Comment Subject Char"/>
    <w:link w:val="CommentSubject"/>
    <w:rsid w:val="00B1783A"/>
    <w:rPr>
      <w:b/>
      <w:bCs/>
      <w:lang w:val="en-GB"/>
    </w:rPr>
  </w:style>
  <w:style w:type="paragraph" w:styleId="Revision">
    <w:name w:val="Revision"/>
    <w:hidden/>
    <w:uiPriority w:val="99"/>
    <w:semiHidden/>
    <w:rsid w:val="002F027A"/>
    <w:rPr>
      <w:lang w:val="en-GB" w:eastAsia="en-IN"/>
    </w:rPr>
  </w:style>
  <w:style w:type="table" w:styleId="TableGrid">
    <w:name w:val="Table Grid"/>
    <w:basedOn w:val="TableNormal"/>
    <w:uiPriority w:val="39"/>
    <w:rsid w:val="0068101E"/>
    <w:rPr>
      <w:rFonts w:ascii="Calibri" w:eastAsia="Calibri" w:hAnsi="Calibri"/>
      <w:sz w:val="22"/>
      <w:szCs w:val="22"/>
      <w:lang w:val="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4C27F9"/>
    <w:rPr>
      <w:b/>
      <w:bC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F0E20"/>
    <w:pPr>
      <w:spacing w:after="160" w:line="259" w:lineRule="auto"/>
      <w:ind w:left="720"/>
    </w:pPr>
    <w:rPr>
      <w:rFonts w:ascii="Calibri" w:eastAsia="Calibri" w:hAnsi="Calibri" w:cs="Arial"/>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7F0E20"/>
    <w:rPr>
      <w:rFonts w:ascii="Calibri" w:eastAsia="Calibri" w:hAnsi="Calibri" w:cs="Arial"/>
      <w:sz w:val="22"/>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852315">
      <w:bodyDiv w:val="1"/>
      <w:marLeft w:val="0"/>
      <w:marRight w:val="0"/>
      <w:marTop w:val="0"/>
      <w:marBottom w:val="0"/>
      <w:divBdr>
        <w:top w:val="none" w:sz="0" w:space="0" w:color="auto"/>
        <w:left w:val="none" w:sz="0" w:space="0" w:color="auto"/>
        <w:bottom w:val="none" w:sz="0" w:space="0" w:color="auto"/>
        <w:right w:val="none" w:sz="0" w:space="0" w:color="auto"/>
      </w:divBdr>
    </w:div>
    <w:div w:id="102767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56fce44d-b2a4-453a-b677-4060ba554334" xsi:nil="true"/>
    <Document_x0020_category xmlns="3b34c8f0-1ef5-4d1e-bb66-517ce7fe7356" xsi:nil="true"/>
    <HideFromDelve xmlns="71c5aaf6-e6ce-465b-b873-5148d2a4c105">false</HideFromDelve>
    <lcf76f155ced4ddcb4097134ff3c332f xmlns="56fce44d-b2a4-453a-b677-4060ba554334">
      <Terms xmlns="http://schemas.microsoft.com/office/infopath/2007/PartnerControls"/>
    </lcf76f155ced4ddcb4097134ff3c332f>
    <_dlc_DocId xmlns="71c5aaf6-e6ce-465b-b873-5148d2a4c105">5AIRPNAIUNRU-726056734-4550</_dlc_DocId>
    <_dlc_DocIdUrl xmlns="71c5aaf6-e6ce-465b-b873-5148d2a4c105">
      <Url>https://nokia.sharepoint.com/sites/c5g/projects/aidc/_layouts/15/DocIdRedir.aspx?ID=5AIRPNAIUNRU-726056734-4550</Url>
      <Description>5AIRPNAIUNRU-726056734-4550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C96F2F-C95B-4530-A65E-D4AB21E18000}">
  <ds:schemaRefs>
    <ds:schemaRef ds:uri="http://schemas.microsoft.com/sharepoint/v3/contenttype/forms"/>
  </ds:schemaRefs>
</ds:datastoreItem>
</file>

<file path=customXml/itemProps2.xml><?xml version="1.0" encoding="utf-8"?>
<ds:datastoreItem xmlns:ds="http://schemas.openxmlformats.org/officeDocument/2006/customXml" ds:itemID="{3C8F0666-DB50-4284-86CF-3F6B9D41861F}">
  <ds:schemaRefs>
    <ds:schemaRef ds:uri="http://schemas.microsoft.com/sharepoint/events"/>
  </ds:schemaRefs>
</ds:datastoreItem>
</file>

<file path=customXml/itemProps3.xml><?xml version="1.0" encoding="utf-8"?>
<ds:datastoreItem xmlns:ds="http://schemas.openxmlformats.org/officeDocument/2006/customXml" ds:itemID="{E9A636BE-44B0-4016-9B41-B3428D5C8E32}">
  <ds:schemaRefs>
    <ds:schemaRef ds:uri="Microsoft.SharePoint.Taxonomy.ContentTypeSync"/>
  </ds:schemaRefs>
</ds:datastoreItem>
</file>

<file path=customXml/itemProps4.xml><?xml version="1.0" encoding="utf-8"?>
<ds:datastoreItem xmlns:ds="http://schemas.openxmlformats.org/officeDocument/2006/customXml" ds:itemID="{7172400A-DCEF-4FC0-BEBE-EE24CB118CB9}">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5.xml><?xml version="1.0" encoding="utf-8"?>
<ds:datastoreItem xmlns:ds="http://schemas.openxmlformats.org/officeDocument/2006/customXml" ds:itemID="{C65F5329-1202-4F31-9C42-07876A5C6A50}">
  <ds:schemaRefs>
    <ds:schemaRef ds:uri="http://schemas.openxmlformats.org/officeDocument/2006/bibliography"/>
  </ds:schemaRefs>
</ds:datastoreItem>
</file>

<file path=customXml/itemProps6.xml><?xml version="1.0" encoding="utf-8"?>
<ds:datastoreItem xmlns:ds="http://schemas.openxmlformats.org/officeDocument/2006/customXml" ds:itemID="{848A182C-4F23-4D3A-B288-0AEEDD585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81</TotalTime>
  <Pages>4</Pages>
  <Words>1890</Words>
  <Characters>10777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12642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14</cp:revision>
  <dcterms:created xsi:type="dcterms:W3CDTF">2023-05-10T18:13:00Z</dcterms:created>
  <dcterms:modified xsi:type="dcterms:W3CDTF">2023-05-11T23:51:00Z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704345bf-8a9d-4abb-a439-727a19044506</vt:lpwstr>
  </property>
  <property fmtid="{D5CDD505-2E9C-101B-9397-08002B2CF9AE}" pid="4" name="MediaServiceImageTags">
    <vt:lpwstr/>
  </property>
</Properties>
</file>